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89676545.xml.htm"/>
      <w:bookmarkStart w:id="1" w:name="kswkform3a_178967654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Ryan Michael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NEUTRON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 TOWNSEND STREET, FL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Neutron Holdings, Inc.</w:t>
              </w:r>
            </w:hyperlink>
            <w:r>
              <w:rPr/>
              <w:t xml:space="preserve"> [ </w:t>
            </w:r>
            <w:r>
              <w:rPr>
                <w:rFonts w:ascii="Times;serif" w:hAnsi="Times;serif"/>
                <w:color w:val="0000FF"/>
                <w:sz w:val="24"/>
                <w:shd w:fill="FFFFFF" w:val="clear"/>
              </w:rPr>
              <w:t>LIME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06/30/2026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26,785</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is filed solely as an amendment to the Form 3 filed on June 30, 2026. This amendment amends and restates the first footnote in Table I to resolve a clerical error as follows: "Represents restricted stock units ("RSUs"), each of which represents a contingent right to receive one share of Common Stock of the Issuer. The RSUs vest in approximately equal quarterly installments over three years, subject to the Reporting Person's continuous service with the Issuer." Except as set forth in this amendment, the original Form 3 filed is unchanged and no amendment is made hereby to any other footnotes of the initial Form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Susie Giordano,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42371" TargetMode="External"/><Relationship Id="rId3" Type="http://schemas.openxmlformats.org/officeDocument/2006/relationships/hyperlink" Target="http://www.sec.gov/cgi-bin/browse-edgar?action=getcompany&amp;CIK=000169996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505</Words>
  <Characters>2748</Characters>
  <CharactersWithSpaces>3204</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