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567.xml.htm"/>
      <w:bookmarkStart w:id="1" w:name="kswkform4_17896765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Ryan Michael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NEUTRON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 TOWNSEND STREET, FL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Neutron Holdings, Inc.</w:t>
              </w:r>
            </w:hyperlink>
            <w:r>
              <w:rPr/>
              <w:t xml:space="preserve"> [ </w:t>
            </w:r>
            <w:r>
              <w:rPr>
                <w:rFonts w:ascii="Times;serif" w:hAnsi="Times;serif"/>
                <w:color w:val="0000FF"/>
                <w:sz w:val="24"/>
                <w:shd w:fill="FFFFFF" w:val="clear"/>
              </w:rPr>
              <w:t>LIME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9,881</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35,347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660</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30.49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34,687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each of which represents a contingent right to receive one share of Common Stock of the Issuer. The RSUs vest in approximately equal quarterly installments over three years, subject to the Reporting Person's continuous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the Issuer for payment of taxes on vesting of restricted stock units; not an open market transaction.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Susie Giordano,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2371" TargetMode="External"/><Relationship Id="rId5" Type="http://schemas.openxmlformats.org/officeDocument/2006/relationships/hyperlink" Target="http://www.sec.gov/cgi-bin/browse-edgar?action=getcompany&amp;CIK=0001699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3534</Characters>
  <CharactersWithSpaces>4107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