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9411_8k.htm"/>
      <w:bookmarkStart w:id="1" w:name="ksef20079411_8k"/>
      <w:bookmarkStart w:id="2" w:name="ef20079411_8k.htm"/>
      <w:bookmarkStart w:id="3" w:name="ksef20079411_8k"/>
      <w:bookmarkEnd w:id="2"/>
      <w:bookmarkEnd w:id="3"/>
    </w:p>
    <w:p>
      <w:pPr>
        <w:pStyle w:val="TextBody"/>
        <w:bidi w:val="0"/>
        <w:spacing w:before="0" w:after="0"/>
        <w:jc w:val="center"/>
        <w:rPr>
          <w:sz w:val="28"/>
        </w:rPr>
      </w:pPr>
      <w:r>
        <w:rPr>
          <w:b/>
          <w:sz w:val="28"/>
        </w:rPr>
        <w:t>UNITED STATES</w:t>
      </w:r>
      <w:r>
        <w:rPr>
          <w:sz w:val="28"/>
        </w:rPr>
        <w:t xml:space="preserve"> </w:t>
      </w:r>
    </w:p>
    <w:p>
      <w:pPr>
        <w:pStyle w:val="TextBody"/>
        <w:bidi w:val="0"/>
        <w:spacing w:before="0" w:after="0"/>
        <w:jc w:val="center"/>
        <w:rPr>
          <w:sz w:val="28"/>
        </w:rPr>
      </w:pPr>
      <w:r>
        <w:rPr>
          <w:b/>
          <w:sz w:val="28"/>
        </w:rPr>
        <w:t>SECURITIES AND EXCHANGE COMMISSION</w:t>
      </w:r>
      <w:r>
        <w:rPr>
          <w:sz w:val="28"/>
        </w:rPr>
        <w:t xml:space="preserve"> </w:t>
      </w:r>
    </w:p>
    <w:p>
      <w:pPr>
        <w:pStyle w:val="TextBody"/>
        <w:bidi w:val="0"/>
        <w:spacing w:before="0" w:after="0"/>
        <w:jc w:val="center"/>
        <w:rPr>
          <w:b/>
          <w:sz w:val="24"/>
        </w:rPr>
      </w:pPr>
      <w:r>
        <w:rPr>
          <w:b/>
          <w:sz w:val="24"/>
        </w:rPr>
        <w:t xml:space="preserve">Washington, D.C. 20549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b/>
          <w:sz w:val="36"/>
        </w:rPr>
      </w:pPr>
      <w:r>
        <w:rPr>
          <w:b/>
          <w:sz w:val="36"/>
        </w:rPr>
        <w:t xml:space="preserve">FORM 8-K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b/>
          <w:sz w:val="20"/>
        </w:rPr>
        <w:t>CURRENT REPORT</w:t>
      </w:r>
      <w:r>
        <w:rPr/>
        <w:t xml:space="preserve"> </w:t>
      </w:r>
    </w:p>
    <w:p>
      <w:pPr>
        <w:pStyle w:val="TextBody"/>
        <w:bidi w:val="0"/>
        <w:spacing w:before="0" w:after="0"/>
        <w:jc w:val="center"/>
        <w:rPr/>
      </w:pPr>
      <w:r>
        <w:rPr>
          <w:b/>
          <w:sz w:val="20"/>
        </w:rPr>
        <w:t>Pursuant to Section 13 or 15(d)</w:t>
      </w:r>
      <w:r>
        <w:rPr/>
        <w:t xml:space="preserve"> </w:t>
      </w:r>
    </w:p>
    <w:p>
      <w:pPr>
        <w:pStyle w:val="TextBody"/>
        <w:bidi w:val="0"/>
        <w:spacing w:before="0" w:after="0"/>
        <w:jc w:val="center"/>
        <w:rPr>
          <w:b/>
          <w:sz w:val="20"/>
        </w:rPr>
      </w:pPr>
      <w:r>
        <w:rPr>
          <w:b/>
          <w:sz w:val="20"/>
        </w:rPr>
        <w:t>of the Securities Exchange Act of 1934</w:t>
      </w:r>
    </w:p>
    <w:p>
      <w:pPr>
        <w:pStyle w:val="TextBody"/>
        <w:bidi w:val="0"/>
        <w:spacing w:before="0" w:after="0"/>
        <w:jc w:val="center"/>
        <w:rPr/>
      </w:pPr>
      <w:r>
        <w:rPr/>
        <w:t> </w:t>
      </w:r>
    </w:p>
    <w:p>
      <w:pPr>
        <w:pStyle w:val="TextBody"/>
        <w:bidi w:val="0"/>
        <w:spacing w:before="0" w:after="0"/>
        <w:jc w:val="center"/>
        <w:rPr/>
      </w:pPr>
      <w:r>
        <w:rPr>
          <w:b/>
          <w:sz w:val="20"/>
        </w:rPr>
        <w:t>Date of Report (Date of earliest event reported): August 4, 2026</w:t>
      </w:r>
      <w:r>
        <w:rPr/>
        <w:t xml:space="preserve">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sz w:val="48"/>
        </w:rPr>
      </w:pPr>
      <w:r>
        <w:rPr>
          <w:b/>
          <w:sz w:val="48"/>
        </w:rPr>
        <w:t>NEUTRON HOLDINGS, INC.</w:t>
      </w:r>
      <w:r>
        <w:rPr>
          <w:sz w:val="48"/>
        </w:rPr>
        <w:t xml:space="preserve"> </w:t>
      </w:r>
    </w:p>
    <w:p>
      <w:pPr>
        <w:pStyle w:val="TextBody"/>
        <w:bidi w:val="0"/>
        <w:spacing w:before="0" w:after="0"/>
        <w:jc w:val="center"/>
        <w:rPr>
          <w:b/>
          <w:sz w:val="20"/>
        </w:rPr>
      </w:pPr>
      <w:r>
        <w:rPr>
          <w:b/>
          <w:sz w:val="20"/>
        </w:rPr>
        <w:t xml:space="preserve">(Exact name of registrant as specified in its charter)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tbl>
      <w:tblPr>
        <w:tblW w:w="6948" w:type="dxa"/>
        <w:jc w:val="left"/>
        <w:tblInd w:w="0" w:type="dxa"/>
        <w:tblLayout w:type="fixed"/>
        <w:tblCellMar>
          <w:top w:w="28" w:type="dxa"/>
          <w:left w:w="28" w:type="dxa"/>
          <w:bottom w:w="28" w:type="dxa"/>
          <w:right w:w="28" w:type="dxa"/>
        </w:tblCellMar>
      </w:tblPr>
      <w:tblGrid>
        <w:gridCol w:w="2866"/>
        <w:gridCol w:w="1531"/>
        <w:gridCol w:w="2551"/>
      </w:tblGrid>
      <w:tr>
        <w:trPr/>
        <w:tc>
          <w:tcPr>
            <w:tcW w:w="286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0"/>
              <w:jc w:val="center"/>
              <w:rPr/>
            </w:pPr>
            <w:r>
              <w:rPr>
                <w:b/>
                <w:color w:val="000000"/>
              </w:rPr>
              <w:t>Delaware</w:t>
            </w:r>
            <w:r>
              <w:rPr/>
              <w:t xml:space="preserve"> </w:t>
            </w:r>
          </w:p>
        </w:tc>
        <w:tc>
          <w:tcPr>
            <w:tcW w:w="1531" w:type="dxa"/>
            <w:tcBorders/>
            <w:tcMar>
              <w:top w:w="0" w:type="dxa"/>
              <w:left w:w="0" w:type="dxa"/>
              <w:bottom w:w="0" w:type="dxa"/>
              <w:right w:w="0" w:type="dxa"/>
            </w:tcMar>
            <w:vAlign w:val="center"/>
          </w:tcPr>
          <w:p>
            <w:pPr>
              <w:pStyle w:val="TableContents"/>
              <w:bidi w:val="0"/>
              <w:spacing w:before="0" w:after="0"/>
              <w:jc w:val="center"/>
              <w:rPr/>
            </w:pPr>
            <w:r>
              <w:rPr>
                <w:b/>
              </w:rPr>
              <w:t>001-43374</w:t>
            </w:r>
            <w:r>
              <w:rPr/>
              <w:t xml:space="preserve"> </w:t>
            </w:r>
          </w:p>
        </w:tc>
        <w:tc>
          <w:tcPr>
            <w:tcW w:w="2551" w:type="dxa"/>
            <w:tcBorders/>
            <w:tcMar>
              <w:top w:w="0" w:type="dxa"/>
              <w:left w:w="0" w:type="dxa"/>
              <w:bottom w:w="0" w:type="dxa"/>
              <w:right w:w="0" w:type="dxa"/>
            </w:tcMar>
            <w:vAlign w:val="center"/>
          </w:tcPr>
          <w:p>
            <w:pPr>
              <w:pStyle w:val="TableContents"/>
              <w:bidi w:val="0"/>
              <w:spacing w:before="0" w:after="0"/>
              <w:jc w:val="center"/>
              <w:rPr/>
            </w:pPr>
            <w:r>
              <w:rPr>
                <w:b/>
                <w:color w:val="000000"/>
              </w:rPr>
              <w:t>81-4870517</w:t>
            </w:r>
            <w:r>
              <w:rPr/>
              <w:t xml:space="preserve"> </w:t>
            </w:r>
          </w:p>
        </w:tc>
      </w:tr>
      <w:tr>
        <w:trPr/>
        <w:tc>
          <w:tcPr>
            <w:tcW w:w="2866" w:type="dxa"/>
            <w:tcBorders/>
            <w:tcMar>
              <w:top w:w="0" w:type="dxa"/>
              <w:left w:w="0" w:type="dxa"/>
              <w:bottom w:w="0" w:type="dxa"/>
              <w:right w:w="0" w:type="dxa"/>
            </w:tcMar>
            <w:vAlign w:val="center"/>
          </w:tcPr>
          <w:p>
            <w:pPr>
              <w:pStyle w:val="TableContents"/>
              <w:bidi w:val="0"/>
              <w:spacing w:before="0" w:after="0"/>
              <w:jc w:val="center"/>
              <w:rPr/>
            </w:pPr>
            <w:r>
              <w:rPr>
                <w:b/>
              </w:rPr>
              <w:t>(State or other jurisdiction</w:t>
            </w:r>
            <w:r>
              <w:rPr/>
              <w:t xml:space="preserve"> </w:t>
            </w:r>
          </w:p>
          <w:p>
            <w:pPr>
              <w:pStyle w:val="TableContents"/>
              <w:bidi w:val="0"/>
              <w:spacing w:before="0" w:after="0"/>
              <w:jc w:val="center"/>
              <w:rPr/>
            </w:pPr>
            <w:r>
              <w:rPr>
                <w:b/>
              </w:rPr>
              <w:t>of incorporation)</w:t>
            </w:r>
            <w:r>
              <w:rPr/>
              <w:t xml:space="preserve"> </w:t>
            </w:r>
          </w:p>
        </w:tc>
        <w:tc>
          <w:tcPr>
            <w:tcW w:w="1531" w:type="dxa"/>
            <w:tcBorders/>
            <w:tcMar>
              <w:top w:w="0" w:type="dxa"/>
              <w:left w:w="0" w:type="dxa"/>
              <w:bottom w:w="0" w:type="dxa"/>
              <w:right w:w="0" w:type="dxa"/>
            </w:tcMar>
            <w:vAlign w:val="center"/>
          </w:tcPr>
          <w:p>
            <w:pPr>
              <w:pStyle w:val="TableContents"/>
              <w:bidi w:val="0"/>
              <w:spacing w:before="0" w:after="0"/>
              <w:jc w:val="center"/>
              <w:rPr/>
            </w:pPr>
            <w:r>
              <w:rPr>
                <w:b/>
              </w:rPr>
              <w:t>(Commission</w:t>
            </w:r>
            <w:r>
              <w:rPr/>
              <w:t xml:space="preserve"> </w:t>
            </w:r>
          </w:p>
          <w:p>
            <w:pPr>
              <w:pStyle w:val="TableContents"/>
              <w:bidi w:val="0"/>
              <w:spacing w:before="0" w:after="0"/>
              <w:jc w:val="center"/>
              <w:rPr/>
            </w:pPr>
            <w:r>
              <w:rPr>
                <w:b/>
              </w:rPr>
              <w:t>File Number)</w:t>
            </w:r>
            <w:r>
              <w:rPr/>
              <w:t xml:space="preserve"> </w:t>
            </w:r>
          </w:p>
        </w:tc>
        <w:tc>
          <w:tcPr>
            <w:tcW w:w="2551" w:type="dxa"/>
            <w:tcBorders/>
            <w:tcMar>
              <w:top w:w="0" w:type="dxa"/>
              <w:left w:w="0" w:type="dxa"/>
              <w:bottom w:w="0" w:type="dxa"/>
              <w:right w:w="0" w:type="dxa"/>
            </w:tcMar>
            <w:vAlign w:val="center"/>
          </w:tcPr>
          <w:p>
            <w:pPr>
              <w:pStyle w:val="TableContents"/>
              <w:bidi w:val="0"/>
              <w:spacing w:before="0" w:after="0"/>
              <w:jc w:val="center"/>
              <w:rPr/>
            </w:pPr>
            <w:r>
              <w:rPr>
                <w:b/>
              </w:rPr>
              <w:t>(IRS Employer</w:t>
            </w:r>
            <w:r>
              <w:rPr/>
              <w:t xml:space="preserve"> </w:t>
            </w:r>
          </w:p>
          <w:p>
            <w:pPr>
              <w:pStyle w:val="TableContents"/>
              <w:bidi w:val="0"/>
              <w:spacing w:before="0" w:after="0"/>
              <w:jc w:val="center"/>
              <w:rPr/>
            </w:pPr>
            <w:r>
              <w:rPr>
                <w:b/>
              </w:rPr>
              <w:t>Identification Number)</w:t>
            </w:r>
            <w:r>
              <w:rPr/>
              <w:t xml:space="preserve"> </w:t>
            </w:r>
          </w:p>
        </w:tc>
      </w:tr>
    </w:tbl>
    <w:p>
      <w:pPr>
        <w:pStyle w:val="TextBody"/>
        <w:bidi w:val="0"/>
        <w:spacing w:before="0" w:after="0"/>
        <w:jc w:val="center"/>
        <w:rPr/>
      </w:pPr>
      <w:r>
        <w:rPr/>
        <w:t xml:space="preserve">  </w:t>
      </w:r>
    </w:p>
    <w:p>
      <w:pPr>
        <w:pStyle w:val="TextBody"/>
        <w:bidi w:val="0"/>
        <w:spacing w:before="0" w:after="0"/>
        <w:jc w:val="center"/>
        <w:rPr/>
      </w:pPr>
      <w:r>
        <w:rPr>
          <w:b/>
          <w:sz w:val="20"/>
        </w:rPr>
        <w:t>444 Townsend Street, First Floor</w:t>
      </w:r>
      <w:r>
        <w:rPr/>
        <w:t xml:space="preserve"> </w:t>
      </w:r>
    </w:p>
    <w:p>
      <w:pPr>
        <w:pStyle w:val="TextBody"/>
        <w:bidi w:val="0"/>
        <w:spacing w:before="0" w:after="0"/>
        <w:jc w:val="center"/>
        <w:rPr/>
      </w:pPr>
      <w:r>
        <w:rPr>
          <w:b/>
          <w:sz w:val="20"/>
        </w:rPr>
        <w:t>San Francisco, California 94107</w:t>
      </w:r>
      <w:r>
        <w:rPr/>
        <w:t xml:space="preserve"> </w:t>
      </w:r>
    </w:p>
    <w:p>
      <w:pPr>
        <w:pStyle w:val="TextBody"/>
        <w:bidi w:val="0"/>
        <w:spacing w:before="0" w:after="0"/>
        <w:jc w:val="center"/>
        <w:rPr/>
      </w:pPr>
      <w:r>
        <w:rPr>
          <w:b/>
          <w:sz w:val="20"/>
        </w:rPr>
        <w:t>(Address of principal executive offices, including Zip Code)</w:t>
      </w:r>
      <w:r>
        <w:rPr/>
        <w:t xml:space="preserve"> </w:t>
      </w:r>
    </w:p>
    <w:p>
      <w:pPr>
        <w:pStyle w:val="TextBody"/>
        <w:bidi w:val="0"/>
        <w:spacing w:before="0" w:after="0"/>
        <w:jc w:val="center"/>
        <w:rPr/>
      </w:pPr>
      <w:r>
        <w:rPr/>
        <w:t xml:space="preserve">  </w:t>
      </w:r>
    </w:p>
    <w:p>
      <w:pPr>
        <w:pStyle w:val="TextBody"/>
        <w:bidi w:val="0"/>
        <w:spacing w:before="0" w:after="0"/>
        <w:jc w:val="center"/>
        <w:rPr/>
      </w:pPr>
      <w:r>
        <w:rPr>
          <w:b/>
          <w:sz w:val="20"/>
        </w:rPr>
        <w:t>(415) 449-4139</w:t>
      </w:r>
      <w:r>
        <w:rPr/>
        <w:t xml:space="preserve"> </w:t>
      </w:r>
    </w:p>
    <w:p>
      <w:pPr>
        <w:pStyle w:val="TextBody"/>
        <w:bidi w:val="0"/>
        <w:spacing w:before="0" w:after="0"/>
        <w:jc w:val="center"/>
        <w:rPr/>
      </w:pPr>
      <w:r>
        <w:rPr>
          <w:b/>
          <w:sz w:val="20"/>
        </w:rPr>
        <w:t>Registrant’s telephone number, including area code</w:t>
      </w:r>
      <w:r>
        <w:rPr/>
        <w:t xml:space="preserve"> </w:t>
      </w:r>
    </w:p>
    <w:p>
      <w:pPr>
        <w:pStyle w:val="TextBody"/>
        <w:bidi w:val="0"/>
        <w:spacing w:before="0" w:after="0"/>
        <w:jc w:val="center"/>
        <w:rPr/>
      </w:pPr>
      <w:r>
        <w:rPr/>
        <w:t xml:space="preserve">  </w:t>
      </w:r>
    </w:p>
    <w:p>
      <w:pPr>
        <w:pStyle w:val="TextBody"/>
        <w:bidi w:val="0"/>
        <w:spacing w:before="0" w:after="0"/>
        <w:jc w:val="center"/>
        <w:rPr/>
      </w:pPr>
      <w:r>
        <w:rPr>
          <w:b/>
          <w:sz w:val="20"/>
        </w:rPr>
        <w:t>Not Applicable</w:t>
      </w:r>
      <w:r>
        <w:rPr/>
        <w:t xml:space="preserve"> </w:t>
      </w:r>
    </w:p>
    <w:p>
      <w:pPr>
        <w:pStyle w:val="TextBody"/>
        <w:bidi w:val="0"/>
        <w:spacing w:before="0" w:after="0"/>
        <w:jc w:val="center"/>
        <w:rPr/>
      </w:pPr>
      <w:r>
        <w:rPr>
          <w:b/>
          <w:sz w:val="20"/>
        </w:rPr>
        <w:t>(Former name or former address, if changed since last report.)</w:t>
      </w:r>
      <w:r>
        <w:rPr/>
        <w:t xml:space="preserve">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sz w:val="20"/>
        </w:rPr>
      </w:pPr>
      <w:r>
        <w:rPr>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xml:space="preserve">  </w:t>
      </w:r>
    </w:p>
    <w:p>
      <w:pPr>
        <w:pStyle w:val="TextBody"/>
        <w:bidi w:val="0"/>
        <w:spacing w:before="0" w:after="0"/>
        <w:ind w:left="0" w:right="0" w:hanging="360"/>
        <w:jc w:val="left"/>
        <w:rPr>
          <w:color w:val="000000"/>
          <w:sz w:val="20"/>
        </w:rPr>
      </w:pPr>
      <w:r>
        <w:rPr>
          <w:color w:val="000000"/>
          <w:sz w:val="20"/>
        </w:rPr>
        <w:t xml:space="preserve">Written communications pursuant to Rule 425 under the Securities Act (17 CFR 230.425)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86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color w:val="000000"/>
          <w:sz w:val="20"/>
        </w:rPr>
      </w:pPr>
      <w:r>
        <w:rPr>
          <w:color w:val="000000"/>
          <w:sz w:val="20"/>
        </w:rPr>
        <w:t xml:space="preserve">Soliciting material pursuant to Rule 14a-12 under the Exchange Act (17 CFR 240.14a-12)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color w:val="000000"/>
          <w:sz w:val="20"/>
        </w:rPr>
      </w:pPr>
      <w:r>
        <w:rPr>
          <w:color w:val="000000"/>
          <w:sz w:val="20"/>
        </w:rPr>
        <w:t xml:space="preserve">Pre-commencement communications pursuant to Rule 14d-2(b) under the Exchange Act (17 CFR 240.14d-2(b))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color w:val="000000"/>
          <w:sz w:val="20"/>
        </w:rPr>
      </w:pPr>
      <w:r>
        <w:rPr>
          <w:color w:val="000000"/>
          <w:sz w:val="20"/>
        </w:rPr>
        <w:t xml:space="preserve">Pre-commencement communications pursuant to Rule 13e-4(c) under the Exchange Act (17 CFR 240.13e-4(c))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sz w:val="20"/>
        </w:rPr>
        <w:t>Securities registered pursuant to Section 12(b) of the Act:</w:t>
      </w:r>
      <w:r>
        <w:rPr/>
        <w:t xml:space="preserve"> </w:t>
      </w:r>
    </w:p>
    <w:p>
      <w:pPr>
        <w:pStyle w:val="TextBody"/>
        <w:bidi w:val="0"/>
        <w:spacing w:before="0" w:after="0"/>
        <w:jc w:val="left"/>
        <w:rPr/>
      </w:pPr>
      <w:r>
        <w:rPr/>
        <w:t xml:space="preserve">  </w:t>
      </w:r>
    </w:p>
    <w:tbl>
      <w:tblPr>
        <w:tblW w:w="9415" w:type="dxa"/>
        <w:jc w:val="left"/>
        <w:tblInd w:w="0" w:type="dxa"/>
        <w:tblLayout w:type="fixed"/>
        <w:tblCellMar>
          <w:top w:w="0" w:type="dxa"/>
          <w:left w:w="0" w:type="dxa"/>
          <w:bottom w:w="28" w:type="dxa"/>
          <w:right w:w="0" w:type="dxa"/>
        </w:tblCellMar>
      </w:tblPr>
      <w:tblGrid>
        <w:gridCol w:w="4696"/>
        <w:gridCol w:w="146"/>
        <w:gridCol w:w="946"/>
        <w:gridCol w:w="146"/>
        <w:gridCol w:w="3481"/>
      </w:tblGrid>
      <w:tr>
        <w:trPr/>
        <w:tc>
          <w:tcPr>
            <w:tcW w:w="4696" w:type="dxa"/>
            <w:tcBorders>
              <w:bottom w:val="single" w:sz="12" w:space="0" w:color="000000"/>
            </w:tcBorders>
            <w:vAlign w:val="center"/>
          </w:tcPr>
          <w:p>
            <w:pPr>
              <w:pStyle w:val="TableContents"/>
              <w:bidi w:val="0"/>
              <w:spacing w:before="0" w:after="0"/>
              <w:jc w:val="center"/>
              <w:rPr/>
            </w:pPr>
            <w:r>
              <w:rPr>
                <w:b/>
                <w:color w:val="000000"/>
              </w:rPr>
              <w:t>Title of each class</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946" w:type="dxa"/>
            <w:tcBorders>
              <w:bottom w:val="single" w:sz="12" w:space="0" w:color="000000"/>
            </w:tcBorders>
            <w:vAlign w:val="center"/>
          </w:tcPr>
          <w:p>
            <w:pPr>
              <w:pStyle w:val="TableContents"/>
              <w:bidi w:val="0"/>
              <w:spacing w:before="0" w:after="0"/>
              <w:jc w:val="center"/>
              <w:rPr/>
            </w:pPr>
            <w:r>
              <w:rPr>
                <w:b/>
              </w:rPr>
              <w:t>Trading</w:t>
              <w:br/>
            </w:r>
            <w:r>
              <w:rPr>
                <w:b/>
                <w:sz w:val="20"/>
              </w:rPr>
              <w:t>Symbol</w:t>
            </w:r>
          </w:p>
        </w:tc>
        <w:tc>
          <w:tcPr>
            <w:tcW w:w="146" w:type="dxa"/>
            <w:tcBorders/>
            <w:tcMar>
              <w:bottom w:w="0" w:type="dxa"/>
            </w:tcMar>
            <w:vAlign w:val="center"/>
          </w:tcPr>
          <w:p>
            <w:pPr>
              <w:pStyle w:val="TableContents"/>
              <w:bidi w:val="0"/>
              <w:spacing w:before="0" w:after="283"/>
              <w:jc w:val="left"/>
              <w:rPr/>
            </w:pPr>
            <w:r>
              <w:rPr/>
              <w:t> </w:t>
            </w:r>
          </w:p>
        </w:tc>
        <w:tc>
          <w:tcPr>
            <w:tcW w:w="3481" w:type="dxa"/>
            <w:tcBorders>
              <w:bottom w:val="single" w:sz="12" w:space="0" w:color="000000"/>
            </w:tcBorders>
            <w:vAlign w:val="center"/>
          </w:tcPr>
          <w:p>
            <w:pPr>
              <w:pStyle w:val="TableContents"/>
              <w:bidi w:val="0"/>
              <w:spacing w:before="0" w:after="0"/>
              <w:jc w:val="center"/>
              <w:rPr/>
            </w:pPr>
            <w:r>
              <w:rPr>
                <w:b/>
              </w:rPr>
              <w:t>Name of each exchange</w:t>
              <w:br/>
            </w:r>
            <w:r>
              <w:rPr>
                <w:b/>
                <w:sz w:val="20"/>
              </w:rPr>
              <w:t>on which registered</w:t>
            </w:r>
          </w:p>
        </w:tc>
      </w:tr>
      <w:tr>
        <w:trPr/>
        <w:tc>
          <w:tcPr>
            <w:tcW w:w="4696" w:type="dxa"/>
            <w:tcBorders>
              <w:top w:val="single" w:sz="8" w:space="0" w:color="000000"/>
            </w:tcBorders>
            <w:tcMar>
              <w:top w:w="28" w:type="dxa"/>
              <w:bottom w:w="0" w:type="dxa"/>
            </w:tcMar>
            <w:vAlign w:val="center"/>
          </w:tcPr>
          <w:p>
            <w:pPr>
              <w:pStyle w:val="TableContents"/>
              <w:bidi w:val="0"/>
              <w:spacing w:before="0" w:after="0"/>
              <w:jc w:val="center"/>
              <w:rPr/>
            </w:pPr>
            <w:r>
              <w:rPr>
                <w:b/>
                <w:color w:val="000000"/>
              </w:rPr>
              <w:t>Common Stock, par value $0.0001 per share</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946" w:type="dxa"/>
            <w:tcBorders>
              <w:top w:val="single" w:sz="8" w:space="0" w:color="000000"/>
            </w:tcBorders>
            <w:tcMar>
              <w:top w:w="28" w:type="dxa"/>
              <w:bottom w:w="0" w:type="dxa"/>
            </w:tcMar>
            <w:vAlign w:val="center"/>
          </w:tcPr>
          <w:p>
            <w:pPr>
              <w:pStyle w:val="TableContents"/>
              <w:bidi w:val="0"/>
              <w:spacing w:before="0" w:after="0"/>
              <w:jc w:val="center"/>
              <w:rPr/>
            </w:pPr>
            <w:r>
              <w:rPr>
                <w:b/>
                <w:color w:val="000000"/>
              </w:rPr>
              <w:t>LIME</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3481" w:type="dxa"/>
            <w:tcBorders>
              <w:top w:val="single" w:sz="8" w:space="0" w:color="000000"/>
            </w:tcBorders>
            <w:tcMar>
              <w:top w:w="28" w:type="dxa"/>
              <w:bottom w:w="0" w:type="dxa"/>
            </w:tcMar>
            <w:vAlign w:val="center"/>
          </w:tcPr>
          <w:p>
            <w:pPr>
              <w:pStyle w:val="TableContents"/>
              <w:bidi w:val="0"/>
              <w:spacing w:before="0" w:after="0"/>
              <w:jc w:val="center"/>
              <w:rPr/>
            </w:pPr>
            <w:r>
              <w:rPr>
                <w:b/>
              </w:rPr>
              <w:t>The Nasdaq Stock Market LLC</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sz w:val="20"/>
        </w:rPr>
        <w:t>Indicate by check mark whether the registrant is an emerging growth company as defined in Rule 405 of the Securities Act of 1933 (§230.405 of this chapter) or Rule 12b-2 of the Securities Exchange Act of 1934 (§240.12b-2 of this chapter).</w:t>
      </w:r>
      <w:r>
        <w:rPr/>
        <w:t xml:space="preserve"> </w:t>
      </w:r>
    </w:p>
    <w:p>
      <w:pPr>
        <w:pStyle w:val="TextBody"/>
        <w:bidi w:val="0"/>
        <w:spacing w:before="0" w:after="0"/>
        <w:jc w:val="left"/>
        <w:rPr/>
      </w:pPr>
      <w:r>
        <w:rPr/>
        <w:t xml:space="preserve">  </w:t>
      </w:r>
    </w:p>
    <w:p>
      <w:pPr>
        <w:pStyle w:val="TextBody"/>
        <w:bidi w:val="0"/>
        <w:spacing w:before="0" w:after="0"/>
        <w:jc w:val="right"/>
        <w:rPr>
          <w:sz w:val="20"/>
        </w:rPr>
      </w:pPr>
      <w:r>
        <w:rPr>
          <w:sz w:val="20"/>
        </w:rPr>
        <w:t>Emerging growth company ☒</w:t>
      </w:r>
    </w:p>
    <w:p>
      <w:pPr>
        <w:pStyle w:val="TextBody"/>
        <w:bidi w:val="0"/>
        <w:spacing w:before="0" w:after="0"/>
        <w:jc w:val="right"/>
        <w:rPr/>
      </w:pPr>
      <w:r>
        <w:rPr/>
        <w:t xml:space="preserve">  </w:t>
      </w:r>
    </w:p>
    <w:p>
      <w:pPr>
        <w:pStyle w:val="TextBody"/>
        <w:bidi w:val="0"/>
        <w:spacing w:before="0" w:after="0"/>
        <w:jc w:val="left"/>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50" w:after="3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30"/>
        <w:jc w:val="left"/>
        <w:rPr/>
      </w:pPr>
      <w:r>
        <w:rPr/>
      </w:r>
    </w:p>
    <w:p>
      <w:pPr>
        <w:pStyle w:val="TextBody"/>
        <w:bidi w:val="0"/>
        <w:spacing w:before="150" w:after="3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1080"/>
        <w:jc w:val="left"/>
        <w:rPr/>
      </w:pPr>
      <w:r>
        <w:rPr>
          <w:b/>
          <w:color w:val="000000"/>
          <w:sz w:val="20"/>
        </w:rPr>
        <w:t>Results of Operations and Financial Condition.</w:t>
      </w:r>
      <w:r>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6858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extBody"/>
                              <w:bidi w:val="0"/>
                              <w:spacing w:before="0" w:after="283"/>
                              <w:jc w:val="left"/>
                              <w:rPr/>
                            </w:pPr>
                            <w:r>
                              <w:rPr>
                                <w:b/>
                                <w:sz w:val="20"/>
                              </w:rPr>
                              <w:t>Item 2.02</w:t>
                            </w:r>
                            <w:r>
                              <w:rPr/>
                              <w:t xml:space="preserve"> </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2.02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pPr>
      <w:r>
        <w:rPr>
          <w:color w:val="000000"/>
          <w:sz w:val="20"/>
        </w:rPr>
        <w:t>On August 4, 2026, Neutron Holdings, Inc. issued a press release announcing its financial results for the second quarter ended June 30, 2026. A copy of the press release is furnished herewith as Exhibit 99.1 and is incorporated herein by reference.</w:t>
      </w:r>
      <w:r>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pPr>
      <w:r>
        <w:rPr>
          <w:color w:val="000000"/>
          <w:sz w:val="20"/>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 except as otherwise expressly stated in such filing.</w:t>
      </w:r>
      <w:r>
        <w:rPr/>
        <w:t xml:space="preserve"> </w:t>
      </w:r>
    </w:p>
    <w:p>
      <w:pPr>
        <w:pStyle w:val="TextBody"/>
        <w:bidi w:val="0"/>
        <w:spacing w:before="0" w:after="0"/>
        <w:jc w:val="left"/>
        <w:rPr/>
      </w:pPr>
      <w:r>
        <w:rPr/>
        <w:t xml:space="preserve">  </w:t>
      </w:r>
    </w:p>
    <w:p>
      <w:pPr>
        <w:pStyle w:val="TextBody"/>
        <w:bidi w:val="0"/>
        <w:spacing w:before="0" w:after="0"/>
        <w:ind w:left="0" w:right="0" w:hanging="1080"/>
        <w:jc w:val="left"/>
        <w:rPr/>
      </w:pPr>
      <w:r>
        <w:rPr>
          <w:b/>
          <w:sz w:val="20"/>
        </w:rPr>
        <w:t>Financial Statements and Exhibits.</w:t>
      </w:r>
      <w:r>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6858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extBody"/>
                              <w:bidi w:val="0"/>
                              <w:spacing w:before="0" w:after="283"/>
                              <w:jc w:val="left"/>
                              <w:rPr/>
                            </w:pPr>
                            <w:r>
                              <w:rPr>
                                <w:b/>
                                <w:sz w:val="20"/>
                              </w:rPr>
                              <w:t>Item 9.01</w:t>
                            </w:r>
                            <w:r>
                              <w:rPr/>
                              <w:t xml:space="preserve"> </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9.01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sz w:val="20"/>
        </w:rPr>
        <w:t>(d) Exhibits</w:t>
      </w:r>
      <w:r>
        <w:rPr/>
        <w:t xml:space="preserve"> </w:t>
      </w:r>
    </w:p>
    <w:p>
      <w:pPr>
        <w:pStyle w:val="TextBody"/>
        <w:bidi w:val="0"/>
        <w:spacing w:before="0" w:after="0"/>
        <w:jc w:val="left"/>
        <w:rPr/>
      </w:pPr>
      <w:r>
        <w:rPr/>
        <w:t xml:space="preserve">  </w:t>
      </w:r>
    </w:p>
    <w:tbl>
      <w:tblPr>
        <w:tblW w:w="8413" w:type="dxa"/>
        <w:jc w:val="left"/>
        <w:tblInd w:w="0" w:type="dxa"/>
        <w:tblLayout w:type="fixed"/>
        <w:tblCellMar>
          <w:top w:w="28" w:type="dxa"/>
          <w:left w:w="28" w:type="dxa"/>
          <w:bottom w:w="28" w:type="dxa"/>
          <w:right w:w="28" w:type="dxa"/>
        </w:tblCellMar>
      </w:tblPr>
      <w:tblGrid>
        <w:gridCol w:w="1351"/>
        <w:gridCol w:w="146"/>
        <w:gridCol w:w="6916"/>
      </w:tblGrid>
      <w:tr>
        <w:trPr/>
        <w:tc>
          <w:tcPr>
            <w:tcW w:w="1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6" w:type="dxa"/>
            <w:tcBorders/>
            <w:vAlign w:val="center"/>
          </w:tcPr>
          <w:p>
            <w:pPr>
              <w:pStyle w:val="TableContents"/>
              <w:bidi w:val="0"/>
              <w:spacing w:before="0" w:after="283"/>
              <w:jc w:val="left"/>
              <w:rPr/>
            </w:pPr>
            <w:r>
              <w:rPr/>
              <w:t> </w:t>
            </w:r>
          </w:p>
        </w:tc>
      </w:tr>
      <w:tr>
        <w:trPr/>
        <w:tc>
          <w:tcPr>
            <w:tcW w:w="1351" w:type="dxa"/>
            <w:tcBorders/>
            <w:tcMar>
              <w:top w:w="0" w:type="dxa"/>
              <w:left w:w="0" w:type="dxa"/>
              <w:bottom w:w="0" w:type="dxa"/>
              <w:right w:w="0" w:type="dxa"/>
            </w:tcMar>
            <w:vAlign w:val="center"/>
          </w:tcPr>
          <w:p>
            <w:pPr>
              <w:pStyle w:val="TableContents"/>
              <w:bidi w:val="0"/>
              <w:spacing w:before="0" w:after="283"/>
              <w:jc w:val="both"/>
              <w:rPr/>
            </w:pPr>
            <w:r>
              <w:rPr>
                <w:b/>
                <w:color w:val="000000"/>
                <w:u w:val="single"/>
              </w:rPr>
              <w:t>Exhibit No.</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6" w:type="dxa"/>
            <w:tcBorders/>
            <w:tcMar>
              <w:top w:w="0" w:type="dxa"/>
              <w:left w:w="0" w:type="dxa"/>
              <w:bottom w:w="0" w:type="dxa"/>
              <w:right w:w="0" w:type="dxa"/>
            </w:tcMar>
            <w:vAlign w:val="center"/>
          </w:tcPr>
          <w:p>
            <w:pPr>
              <w:pStyle w:val="TableContents"/>
              <w:bidi w:val="0"/>
              <w:spacing w:before="0" w:after="0"/>
              <w:jc w:val="left"/>
              <w:rPr/>
            </w:pPr>
            <w:r>
              <w:rPr>
                <w:b/>
                <w:color w:val="000000"/>
                <w:u w:val="single"/>
              </w:rPr>
              <w:t>Description</w:t>
            </w:r>
            <w:r>
              <w:rPr/>
              <w:t xml:space="preserve"> </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tcMar>
              <w:top w:w="0" w:type="dxa"/>
              <w:left w:w="0" w:type="dxa"/>
              <w:bottom w:w="0" w:type="dxa"/>
              <w:right w:w="0" w:type="dxa"/>
            </w:tcMar>
            <w:vAlign w:val="center"/>
          </w:tcPr>
          <w:p>
            <w:pPr>
              <w:pStyle w:val="TableContents"/>
              <w:bidi w:val="0"/>
              <w:spacing w:before="0" w:after="0"/>
              <w:jc w:val="left"/>
              <w:rPr/>
            </w:pPr>
            <w:hyperlink w:anchor="ef20079411_ex99-1.htm">
              <w:r>
                <w:rPr>
                  <w:rStyle w:val="InternetLink"/>
                  <w:color w:val="000000"/>
                </w:rPr>
                <w:t>99.1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6" w:type="dxa"/>
            <w:tcBorders/>
            <w:tcMar>
              <w:top w:w="0" w:type="dxa"/>
              <w:left w:w="0" w:type="dxa"/>
              <w:bottom w:w="0" w:type="dxa"/>
              <w:right w:w="0" w:type="dxa"/>
            </w:tcMar>
            <w:vAlign w:val="center"/>
          </w:tcPr>
          <w:p>
            <w:pPr>
              <w:pStyle w:val="TableContents"/>
              <w:bidi w:val="0"/>
              <w:spacing w:before="0" w:after="0"/>
              <w:jc w:val="left"/>
              <w:rPr/>
            </w:pPr>
            <w:r>
              <w:rPr>
                <w:color w:val="000000"/>
              </w:rPr>
              <w:t>Press Release, dated August 4, 2026, issued by Neutron Holdings, Inc.</w:t>
            </w:r>
            <w:r>
              <w:rPr/>
              <w:t xml:space="preserve"> </w:t>
            </w:r>
          </w:p>
        </w:tc>
      </w:tr>
    </w:tbl>
    <w:p>
      <w:pPr>
        <w:pStyle w:val="TextBody"/>
        <w:bidi w:val="0"/>
        <w:spacing w:before="0" w:after="0"/>
        <w:jc w:val="left"/>
        <w:rPr/>
      </w:pPr>
      <w:r>
        <w:rPr/>
        <w:t xml:space="preserve">  </w:t>
      </w:r>
    </w:p>
    <w:p>
      <w:pPr>
        <w:pStyle w:val="TextBody"/>
        <w:bidi w:val="0"/>
        <w:spacing w:before="150" w:after="3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30"/>
        <w:jc w:val="left"/>
        <w:rPr/>
      </w:pPr>
      <w:r>
        <w:rPr/>
      </w:r>
    </w:p>
    <w:p>
      <w:pPr>
        <w:pStyle w:val="TextBody"/>
        <w:bidi w:val="0"/>
        <w:spacing w:before="150" w:after="3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r>
        <w:rPr>
          <w:b/>
          <w:sz w:val="20"/>
        </w:rPr>
        <w:t>SIGNATURES</w:t>
      </w:r>
      <w:r>
        <w:rPr/>
        <w:t xml:space="preserve"> </w:t>
      </w:r>
    </w:p>
    <w:p>
      <w:pPr>
        <w:pStyle w:val="TextBody"/>
        <w:bidi w:val="0"/>
        <w:spacing w:before="0" w:after="0"/>
        <w:jc w:val="center"/>
        <w:rPr/>
      </w:pPr>
      <w:r>
        <w:rPr/>
        <w:t xml:space="preserve">  </w:t>
      </w:r>
    </w:p>
    <w:p>
      <w:pPr>
        <w:pStyle w:val="TextBody"/>
        <w:bidi w:val="0"/>
        <w:spacing w:before="0" w:after="0"/>
        <w:ind w:left="0" w:right="0" w:firstLine="490"/>
        <w:jc w:val="left"/>
        <w:rPr/>
      </w:pPr>
      <w:r>
        <w:rPr>
          <w:sz w:val="20"/>
        </w:rPr>
        <w:t>Pursuant to the requirements of the Securities Exchange Act of 1934, as amended, the registrant has duly caused this report to be signed on its behalf by the undersigned hereunto duly authorized.</w:t>
      </w:r>
      <w:r>
        <w:rPr/>
        <w:t xml:space="preserve"> </w:t>
      </w:r>
    </w:p>
    <w:p>
      <w:pPr>
        <w:pStyle w:val="TextBody"/>
        <w:bidi w:val="0"/>
        <w:spacing w:before="0" w:after="0"/>
        <w:jc w:val="left"/>
        <w:rPr/>
      </w:pPr>
      <w:r>
        <w:rPr/>
        <w:t xml:space="preserve">  </w:t>
      </w:r>
    </w:p>
    <w:tbl>
      <w:tblPr>
        <w:tblW w:w="5641" w:type="dxa"/>
        <w:jc w:val="left"/>
        <w:tblInd w:w="0" w:type="dxa"/>
        <w:tblLayout w:type="fixed"/>
        <w:tblCellMar>
          <w:top w:w="28" w:type="dxa"/>
          <w:left w:w="28" w:type="dxa"/>
          <w:bottom w:w="28" w:type="dxa"/>
          <w:right w:w="28" w:type="dxa"/>
        </w:tblCellMar>
      </w:tblPr>
      <w:tblGrid>
        <w:gridCol w:w="2221"/>
        <w:gridCol w:w="585"/>
        <w:gridCol w:w="2835"/>
      </w:tblGrid>
      <w:tr>
        <w:trPr/>
        <w:tc>
          <w:tcPr>
            <w:tcW w:w="222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tcMar>
              <w:top w:w="0" w:type="dxa"/>
              <w:left w:w="0" w:type="dxa"/>
              <w:bottom w:w="0" w:type="dxa"/>
              <w:right w:w="0" w:type="dxa"/>
            </w:tcMar>
            <w:vAlign w:val="center"/>
          </w:tcPr>
          <w:p>
            <w:pPr>
              <w:pStyle w:val="TableContents"/>
              <w:bidi w:val="0"/>
              <w:spacing w:before="0" w:after="0"/>
              <w:jc w:val="left"/>
              <w:rPr/>
            </w:pPr>
            <w:r>
              <w:rPr>
                <w:b/>
                <w:color w:val="000000"/>
              </w:rPr>
              <w:t>NEUTRON HOLDINGS, INC.</w:t>
            </w:r>
            <w:r>
              <w:rPr/>
              <w:t xml:space="preserve">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28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color w:val="000000"/>
              </w:rPr>
              <w:t>Date: August 4, 2026</w:t>
            </w:r>
            <w:r>
              <w:rPr/>
              <w:t xml:space="preserve"> </w:t>
            </w:r>
          </w:p>
        </w:tc>
        <w:tc>
          <w:tcPr>
            <w:tcW w:w="585" w:type="dxa"/>
            <w:tcBorders/>
            <w:tcMar>
              <w:top w:w="0" w:type="dxa"/>
              <w:left w:w="0" w:type="dxa"/>
              <w:bottom w:w="0" w:type="dxa"/>
              <w:right w:w="0" w:type="dxa"/>
            </w:tcMar>
            <w:vAlign w:val="center"/>
          </w:tcPr>
          <w:p>
            <w:pPr>
              <w:pStyle w:val="TableContents"/>
              <w:bidi w:val="0"/>
              <w:spacing w:before="0" w:after="0"/>
              <w:jc w:val="left"/>
              <w:rPr/>
            </w:pPr>
            <w:r>
              <w:rPr>
                <w:color w:val="000000"/>
              </w:rPr>
              <w:t>By:</w:t>
            </w:r>
            <w:r>
              <w:rPr/>
              <w:t xml:space="preserve"> </w:t>
            </w:r>
          </w:p>
        </w:tc>
        <w:tc>
          <w:tcPr>
            <w:tcW w:w="283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Wayne Ting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2835"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Wayne Ting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2835" w:type="dxa"/>
            <w:tcBorders/>
            <w:tcMar>
              <w:top w:w="0" w:type="dxa"/>
              <w:left w:w="0" w:type="dxa"/>
              <w:bottom w:w="0" w:type="dxa"/>
              <w:right w:w="0" w:type="dxa"/>
            </w:tcMar>
            <w:vAlign w:val="center"/>
          </w:tcPr>
          <w:p>
            <w:pPr>
              <w:pStyle w:val="TableContents"/>
              <w:bidi w:val="0"/>
              <w:spacing w:before="0" w:after="0"/>
              <w:jc w:val="left"/>
              <w:rPr/>
            </w:pPr>
            <w:r>
              <w:rPr/>
              <w:t xml:space="preserve">Chief Executive Officer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4" w:name="ef20079411_ex99-1.htm"/>
      <w:bookmarkStart w:id="5" w:name="ksef20079411_ex991"/>
      <w:bookmarkStart w:id="6" w:name="ef20079411_ex99-1.htm"/>
      <w:bookmarkStart w:id="7" w:name="ksef20079411_ex991"/>
      <w:bookmarkEnd w:id="6"/>
      <w:bookmarkEnd w:id="7"/>
      <w:r>
        <w:br w:type="page"/>
      </w:r>
    </w:p>
    <w:p>
      <w:pPr>
        <w:pStyle w:val="TextBody"/>
        <w:bidi w:val="0"/>
        <w:spacing w:before="0" w:after="0"/>
        <w:jc w:val="right"/>
        <w:rPr>
          <w:b/>
          <w:sz w:val="20"/>
        </w:rPr>
      </w:pPr>
      <w:r>
        <w:rPr>
          <w:b/>
          <w:sz w:val="20"/>
        </w:rPr>
        <w:t>Exhibit 99.1</w:t>
      </w:r>
    </w:p>
    <w:p>
      <w:pPr>
        <w:pStyle w:val="TextBody"/>
        <w:bidi w:val="0"/>
        <w:spacing w:before="0" w:after="0"/>
        <w:jc w:val="center"/>
        <w:rPr/>
      </w:pPr>
      <w:r>
        <w:rPr/>
        <w:t> </w:t>
      </w:r>
    </w:p>
    <w:p>
      <w:pPr>
        <w:pStyle w:val="TextBody"/>
        <w:bidi w:val="0"/>
        <w:spacing w:before="0" w:after="0"/>
        <w:jc w:val="left"/>
        <w:rPr/>
      </w:pPr>
      <w:r>
        <w:rPr/>
        <w:t> </w:t>
      </w:r>
      <w:r>
        <w:rPr/>
        <w:drawing>
          <wp:inline distT="0" distB="0" distL="0" distR="0">
            <wp:extent cx="1190625" cy="4857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190625" cy="485775"/>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jc w:val="center"/>
        <w:rPr>
          <w:b/>
          <w:sz w:val="36"/>
        </w:rPr>
      </w:pPr>
      <w:r>
        <w:rPr>
          <w:b/>
          <w:sz w:val="20"/>
        </w:rPr>
        <w:t>Lime Announces Second Quarter 2026 Financial Results</w:t>
      </w:r>
      <w:r>
        <w:rPr>
          <w:b/>
          <w:sz w:val="36"/>
        </w:rPr>
        <w:t xml:space="preserve"> </w:t>
      </w:r>
    </w:p>
    <w:p>
      <w:pPr>
        <w:pStyle w:val="TextBody"/>
        <w:bidi w:val="0"/>
        <w:spacing w:before="0" w:after="0"/>
        <w:jc w:val="center"/>
        <w:rPr/>
      </w:pPr>
      <w:r>
        <w:rPr/>
        <w:t xml:space="preserve">  </w:t>
      </w:r>
    </w:p>
    <w:p>
      <w:pPr>
        <w:pStyle w:val="TextBody"/>
        <w:bidi w:val="0"/>
        <w:spacing w:before="0" w:after="0"/>
        <w:jc w:val="center"/>
        <w:rPr>
          <w:b/>
          <w:sz w:val="36"/>
        </w:rPr>
      </w:pPr>
      <w:r>
        <w:rPr>
          <w:b/>
          <w:i/>
          <w:sz w:val="20"/>
        </w:rPr>
        <w:t>Record Second Quarter Revenue of $304 Million, Up 24% YoY</w:t>
      </w:r>
      <w:r>
        <w:rPr>
          <w:b/>
          <w:sz w:val="36"/>
        </w:rPr>
        <w:t xml:space="preserve"> </w:t>
      </w:r>
    </w:p>
    <w:p>
      <w:pPr>
        <w:pStyle w:val="TextBody"/>
        <w:bidi w:val="0"/>
        <w:spacing w:before="0" w:after="0"/>
        <w:jc w:val="center"/>
        <w:rPr/>
      </w:pPr>
      <w:r>
        <w:rPr/>
        <w:t xml:space="preserve">  </w:t>
      </w:r>
    </w:p>
    <w:p>
      <w:pPr>
        <w:pStyle w:val="TextBody"/>
        <w:bidi w:val="0"/>
        <w:spacing w:before="0" w:after="0"/>
        <w:jc w:val="center"/>
        <w:rPr>
          <w:b/>
          <w:sz w:val="36"/>
        </w:rPr>
      </w:pPr>
      <w:r>
        <w:rPr>
          <w:b/>
          <w:i/>
          <w:sz w:val="20"/>
        </w:rPr>
        <w:t>Average Operational Fleet Grew 22% YoY to 407,707</w:t>
      </w:r>
      <w:r>
        <w:rPr>
          <w:b/>
          <w:sz w:val="36"/>
        </w:rPr>
        <w:t xml:space="preserve"> </w:t>
      </w:r>
    </w:p>
    <w:p>
      <w:pPr>
        <w:pStyle w:val="TextBody"/>
        <w:bidi w:val="0"/>
        <w:spacing w:before="0" w:after="0"/>
        <w:jc w:val="center"/>
        <w:rPr/>
      </w:pPr>
      <w:r>
        <w:rPr/>
        <w:t xml:space="preserve">  </w:t>
      </w:r>
    </w:p>
    <w:p>
      <w:pPr>
        <w:pStyle w:val="TextBody"/>
        <w:bidi w:val="0"/>
        <w:spacing w:before="0" w:after="0"/>
        <w:jc w:val="center"/>
        <w:rPr/>
      </w:pPr>
      <w:r>
        <w:rPr>
          <w:b/>
          <w:i/>
          <w:sz w:val="20"/>
        </w:rPr>
        <w:t>Provides Strong Third Quarter and Full Year 2026 Guidance</w:t>
      </w:r>
      <w:r>
        <w:rPr/>
        <w:t xml:space="preserve"> </w:t>
      </w:r>
    </w:p>
    <w:p>
      <w:pPr>
        <w:pStyle w:val="TextBody"/>
        <w:bidi w:val="0"/>
        <w:spacing w:before="0" w:after="0"/>
        <w:jc w:val="center"/>
        <w:rPr/>
      </w:pPr>
      <w:r>
        <w:rPr/>
        <w:t xml:space="preserve">  </w:t>
      </w:r>
    </w:p>
    <w:p>
      <w:pPr>
        <w:pStyle w:val="TextBody"/>
        <w:bidi w:val="0"/>
        <w:spacing w:before="0" w:after="0"/>
        <w:jc w:val="both"/>
        <w:rPr/>
      </w:pPr>
      <w:r>
        <w:rPr>
          <w:sz w:val="20"/>
        </w:rPr>
        <w:t>SAN FRANCISCO, August 4, 2026 (GLOBE NEWSWIRE) -- Neutron Holdings, Inc. (“Lime”) (Nasdaq: LIME), the largest global shared micromobility business, today announced financial results for the quarter ended June 30, 2026.</w:t>
      </w:r>
      <w:r>
        <w:rPr/>
        <w:t xml:space="preserve"> </w:t>
      </w:r>
    </w:p>
    <w:p>
      <w:pPr>
        <w:pStyle w:val="TextBody"/>
        <w:bidi w:val="0"/>
        <w:spacing w:before="0" w:after="0"/>
        <w:jc w:val="both"/>
        <w:rPr/>
      </w:pPr>
      <w:r>
        <w:rPr/>
        <w:t xml:space="preserve">  </w:t>
      </w:r>
    </w:p>
    <w:p>
      <w:pPr>
        <w:pStyle w:val="TextBody"/>
        <w:bidi w:val="0"/>
        <w:spacing w:before="0" w:after="0"/>
        <w:jc w:val="both"/>
        <w:rPr/>
      </w:pPr>
      <w:r>
        <w:rPr/>
        <w:t>“</w:t>
      </w:r>
      <w:r>
        <w:rPr>
          <w:sz w:val="20"/>
        </w:rPr>
        <w:t>We are pleased to report record revenue and strong bottom line performance for our first quarter as a public company. The results were fueled by our competitive advantages made possible by our vertically integrated platform, continued investments in both existing and new markets and our initiatives to drive rider engagement,” said Wayne Ting, CEO. “Transportation is undergoing significant transformation, including the growth and adoption of micromobility, and Lime is the largest global shared micromobility business. We believe we’re still in the early stages of capturing this significant opportunity, and the Lime team continues to execute on our mission to build a future where transportation is shared, affordable and carbon-free.”</w:t>
      </w:r>
      <w:r>
        <w:rPr/>
        <w:t xml:space="preserve"> </w:t>
      </w:r>
    </w:p>
    <w:p>
      <w:pPr>
        <w:pStyle w:val="TextBody"/>
        <w:bidi w:val="0"/>
        <w:spacing w:before="0" w:after="0"/>
        <w:jc w:val="both"/>
        <w:rPr/>
      </w:pPr>
      <w:r>
        <w:rPr/>
        <w:t xml:space="preserve">  </w:t>
      </w:r>
    </w:p>
    <w:p>
      <w:pPr>
        <w:pStyle w:val="TextBody"/>
        <w:bidi w:val="0"/>
        <w:spacing w:before="0" w:after="0"/>
        <w:jc w:val="both"/>
        <w:rPr>
          <w:b/>
          <w:sz w:val="22"/>
        </w:rPr>
      </w:pPr>
      <w:r>
        <w:rPr>
          <w:b/>
          <w:sz w:val="20"/>
        </w:rPr>
        <w:t>Second Quarter 2026 Financial and Operational Highlights</w:t>
      </w:r>
      <w:r>
        <w:rPr>
          <w:b/>
          <w:sz w:val="22"/>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sz w:val="20"/>
        </w:rPr>
        <w:t xml:space="preserve">Revenue increased to </w:t>
      </w:r>
      <w:r>
        <w:rPr>
          <w:color w:val="000000"/>
          <w:sz w:val="20"/>
        </w:rPr>
        <w:t>$304</w:t>
      </w:r>
      <w:r>
        <w:rPr/>
        <w:t xml:space="preserve"> </w:t>
      </w:r>
      <w:r>
        <w:rPr>
          <w:sz w:val="20"/>
        </w:rPr>
        <w:t xml:space="preserve">million, up </w:t>
      </w:r>
      <w:r>
        <w:rPr>
          <w:color w:val="000000"/>
          <w:sz w:val="20"/>
        </w:rPr>
        <w:t>24%</w:t>
      </w:r>
      <w:r>
        <w:rPr/>
        <w:t xml:space="preserve"> </w:t>
      </w:r>
      <w:r>
        <w:rPr>
          <w:sz w:val="20"/>
        </w:rPr>
        <w:t>year-over-year.</w:t>
      </w:r>
      <w:r>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8"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both"/>
        <w:rPr/>
      </w:pPr>
      <w:r>
        <w:rPr>
          <w:sz w:val="20"/>
        </w:rPr>
        <w:t xml:space="preserve">Net Income of </w:t>
      </w:r>
      <w:r>
        <w:rPr>
          <w:color w:val="000000"/>
          <w:sz w:val="20"/>
        </w:rPr>
        <w:t>$</w:t>
      </w:r>
      <w:r>
        <w:rPr>
          <w:sz w:val="20"/>
        </w:rPr>
        <w:t>295 million was positively impacted by one-time, IPO-related items.</w:t>
      </w:r>
      <w:r>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9"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both"/>
        <w:rPr/>
      </w:pPr>
      <w:r>
        <w:rPr>
          <w:sz w:val="20"/>
        </w:rPr>
        <w:t xml:space="preserve">Adjusted EBITDA of </w:t>
      </w:r>
      <w:r>
        <w:rPr>
          <w:color w:val="000000"/>
          <w:sz w:val="20"/>
        </w:rPr>
        <w:t>$8</w:t>
      </w:r>
      <w:r>
        <w:rPr>
          <w:sz w:val="20"/>
        </w:rPr>
        <w:t>4 million, representing a 28</w:t>
      </w:r>
      <w:r>
        <w:rPr>
          <w:color w:val="000000"/>
          <w:sz w:val="20"/>
        </w:rPr>
        <w:t>%</w:t>
      </w:r>
      <w:r>
        <w:rPr/>
        <w:t xml:space="preserve"> </w:t>
      </w:r>
      <w:r>
        <w:rPr>
          <w:sz w:val="20"/>
        </w:rPr>
        <w:t>margin.</w:t>
      </w:r>
      <w:r>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0"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both"/>
        <w:rPr/>
      </w:pPr>
      <w:r>
        <w:rPr>
          <w:sz w:val="20"/>
        </w:rPr>
        <w:t xml:space="preserve">Average Operational Fleet grew to </w:t>
      </w:r>
      <w:r>
        <w:rPr>
          <w:color w:val="000000"/>
          <w:sz w:val="20"/>
        </w:rPr>
        <w:t>407,707</w:t>
      </w:r>
      <w:r>
        <w:rPr/>
        <w:t xml:space="preserve"> </w:t>
      </w:r>
      <w:r>
        <w:rPr>
          <w:sz w:val="20"/>
        </w:rPr>
        <w:t xml:space="preserve">vehicles, an increase of </w:t>
      </w:r>
      <w:r>
        <w:rPr>
          <w:color w:val="000000"/>
          <w:sz w:val="20"/>
        </w:rPr>
        <w:t>22%</w:t>
      </w:r>
      <w:r>
        <w:rPr/>
        <w:t xml:space="preserve"> </w:t>
      </w:r>
      <w:r>
        <w:rPr>
          <w:sz w:val="20"/>
        </w:rPr>
        <w:t xml:space="preserve">year-over-year.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1" name="Frame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b/>
          <w:sz w:val="22"/>
        </w:rPr>
      </w:pPr>
      <w:r>
        <w:rPr>
          <w:b/>
          <w:sz w:val="20"/>
        </w:rPr>
        <w:t>Other Recent Developments Following the Quarter</w:t>
      </w:r>
      <w:r>
        <w:rPr>
          <w:b/>
          <w:sz w:val="22"/>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sz w:val="20"/>
        </w:rPr>
        <w:t>Proceeds from the recent IPO strengthened Lime’s balance sheet through the paydown of all outstanding long-term debt.</w:t>
      </w:r>
      <w:r>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28600" cy="175260"/>
                <wp:effectExtent l="0" t="0" r="0" b="0"/>
                <wp:wrapSquare wrapText="right"/>
                <wp:docPr id="12"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both"/>
        <w:rPr/>
      </w:pPr>
      <w:r>
        <w:rPr>
          <w:sz w:val="20"/>
        </w:rPr>
        <w:t>Acquired Neuron Mobility’s Canadian operations subsequent to quarter end, expanding Lime’s operations in key cities and regions throughout Canada.</w:t>
      </w:r>
      <w:r>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28600" cy="175260"/>
                <wp:effectExtent l="0" t="0" r="0" b="0"/>
                <wp:wrapSquare wrapText="right"/>
                <wp:docPr id="13"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r>
        <w:rPr/>
        <w:drawing>
          <wp:inline distT="0" distB="0" distL="0" distR="0">
            <wp:extent cx="1190625" cy="48577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1190625" cy="485775"/>
                    </a:xfrm>
                    <a:prstGeom prst="rect">
                      <a:avLst/>
                    </a:prstGeom>
                  </pic:spPr>
                </pic:pic>
              </a:graphicData>
            </a:graphic>
          </wp:inline>
        </w:drawing>
      </w:r>
    </w:p>
    <w:p>
      <w:pPr>
        <w:pStyle w:val="TextBody"/>
        <w:bidi w:val="0"/>
        <w:spacing w:before="0" w:after="0"/>
        <w:jc w:val="both"/>
        <w:rPr/>
      </w:pPr>
      <w:r>
        <w:rPr/>
        <w:t> </w:t>
      </w:r>
    </w:p>
    <w:p>
      <w:pPr>
        <w:pStyle w:val="TextBody"/>
        <w:bidi w:val="0"/>
        <w:spacing w:before="0" w:after="0"/>
        <w:jc w:val="both"/>
        <w:rPr>
          <w:b/>
          <w:sz w:val="22"/>
        </w:rPr>
      </w:pPr>
      <w:r>
        <w:rPr>
          <w:b/>
          <w:sz w:val="20"/>
        </w:rPr>
        <w:t>2026 Outlook</w:t>
      </w:r>
      <w:r>
        <w:rPr>
          <w:b/>
          <w:sz w:val="22"/>
        </w:rPr>
        <w:t xml:space="preserve"> </w:t>
      </w:r>
    </w:p>
    <w:p>
      <w:pPr>
        <w:pStyle w:val="TextBody"/>
        <w:bidi w:val="0"/>
        <w:spacing w:before="0" w:after="0"/>
        <w:jc w:val="both"/>
        <w:rPr/>
      </w:pPr>
      <w:r>
        <w:rPr/>
        <w:t xml:space="preserve">  </w:t>
      </w:r>
    </w:p>
    <w:p>
      <w:pPr>
        <w:pStyle w:val="TextBody"/>
        <w:bidi w:val="0"/>
        <w:spacing w:before="0" w:after="0"/>
        <w:jc w:val="both"/>
        <w:rPr/>
      </w:pPr>
      <w:r>
        <w:rPr/>
        <w:t>“</w:t>
      </w:r>
      <w:r>
        <w:rPr>
          <w:sz w:val="20"/>
        </w:rPr>
        <w:t>We expect to deliver another solid quarter of growth and profitability in Q3, and for the full year,” said Ann Gugino, CFO. “We are particularly pleased with the positive unit economics we are seeing in different sized markets globally. Strong execution, robust demand trends and momentum across the business provide confidence in our full year outlook and reinforce our commitment to driving durable, profitable growth and creating long-term shareholder value.”</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The Company provided the following guidance for the balance of 2026:</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u w:val="single"/>
        </w:rPr>
        <w:t>Third Quarter 2026</w:t>
      </w:r>
      <w:r>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sz w:val="20"/>
        </w:rPr>
        <w:t xml:space="preserve">Revenue in the range of </w:t>
      </w:r>
      <w:r>
        <w:rPr>
          <w:color w:val="000000"/>
          <w:sz w:val="20"/>
        </w:rPr>
        <w:t>$</w:t>
      </w:r>
      <w:r>
        <w:rPr>
          <w:sz w:val="20"/>
        </w:rPr>
        <w:t xml:space="preserve">340 million to </w:t>
      </w:r>
      <w:r>
        <w:rPr>
          <w:color w:val="000000"/>
          <w:sz w:val="20"/>
        </w:rPr>
        <w:t>$</w:t>
      </w:r>
      <w:r>
        <w:rPr>
          <w:sz w:val="20"/>
        </w:rPr>
        <w:t>360 million.</w:t>
      </w:r>
      <w:r>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 cy="175260"/>
                <wp:effectExtent l="0" t="0" r="0" b="0"/>
                <wp:wrapSquare wrapText="right"/>
                <wp:docPr id="15"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sz w:val="20"/>
        </w:rPr>
        <w:t xml:space="preserve">Adjusted EBITDA in the range of </w:t>
      </w:r>
      <w:r>
        <w:rPr>
          <w:color w:val="000000"/>
          <w:sz w:val="20"/>
        </w:rPr>
        <w:t>$</w:t>
      </w:r>
      <w:r>
        <w:rPr>
          <w:sz w:val="20"/>
        </w:rPr>
        <w:t xml:space="preserve">120 million to </w:t>
      </w:r>
      <w:r>
        <w:rPr>
          <w:color w:val="000000"/>
          <w:sz w:val="20"/>
        </w:rPr>
        <w:t>$</w:t>
      </w:r>
      <w:r>
        <w:rPr>
          <w:sz w:val="20"/>
        </w:rPr>
        <w:t>130 million.</w:t>
      </w:r>
      <w:r>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28600" cy="175260"/>
                <wp:effectExtent l="0" t="0" r="0" b="0"/>
                <wp:wrapSquare wrapText="right"/>
                <wp:docPr id="16"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sz w:val="20"/>
          <w:u w:val="single"/>
        </w:rPr>
        <w:t>Full Year 2026</w:t>
      </w:r>
      <w:r>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sz w:val="20"/>
        </w:rPr>
        <w:t xml:space="preserve">Revenue in the range of </w:t>
      </w:r>
      <w:r>
        <w:rPr>
          <w:color w:val="000000"/>
          <w:sz w:val="20"/>
        </w:rPr>
        <w:t>$</w:t>
      </w:r>
      <w:r>
        <w:rPr>
          <w:sz w:val="20"/>
        </w:rPr>
        <w:t xml:space="preserve">1.04 billion to </w:t>
      </w:r>
      <w:r>
        <w:rPr>
          <w:color w:val="000000"/>
          <w:sz w:val="20"/>
        </w:rPr>
        <w:t>$</w:t>
      </w:r>
      <w:r>
        <w:rPr>
          <w:sz w:val="20"/>
        </w:rPr>
        <w:t>1.10 billion.</w:t>
      </w:r>
      <w:r>
        <w:rPr/>
        <w:t xml:space="p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28600" cy="175260"/>
                <wp:effectExtent l="0" t="0" r="0" b="0"/>
                <wp:wrapSquare wrapText="right"/>
                <wp:docPr id="17"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sz w:val="20"/>
        </w:rPr>
        <w:t xml:space="preserve">Adjusted EBITDA in the range of </w:t>
      </w:r>
      <w:r>
        <w:rPr>
          <w:color w:val="000000"/>
          <w:sz w:val="20"/>
        </w:rPr>
        <w:t>$</w:t>
      </w:r>
      <w:r>
        <w:rPr>
          <w:sz w:val="20"/>
        </w:rPr>
        <w:t xml:space="preserve">265 million to </w:t>
      </w:r>
      <w:r>
        <w:rPr>
          <w:color w:val="000000"/>
          <w:sz w:val="20"/>
        </w:rPr>
        <w:t>$</w:t>
      </w:r>
      <w:r>
        <w:rPr>
          <w:sz w:val="20"/>
        </w:rPr>
        <w:t>285 million.</w:t>
      </w:r>
      <w:r>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28600" cy="175260"/>
                <wp:effectExtent l="0" t="0" r="0" b="0"/>
                <wp:wrapSquare wrapText="right"/>
                <wp:docPr id="18"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sz w:val="20"/>
        </w:rPr>
        <w:t xml:space="preserve">Capital expenditures of approximately </w:t>
      </w:r>
      <w:r>
        <w:rPr>
          <w:color w:val="000000"/>
          <w:sz w:val="20"/>
        </w:rPr>
        <w:t>$</w:t>
      </w:r>
      <w:r>
        <w:rPr>
          <w:sz w:val="20"/>
        </w:rPr>
        <w:t>180 million to $185 million.</w:t>
      </w:r>
      <w:r>
        <w:rPr/>
        <w:t xml:space="preserv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28600" cy="175260"/>
                <wp:effectExtent l="0" t="0" r="0" b="0"/>
                <wp:wrapSquare wrapText="right"/>
                <wp:docPr id="19"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sz w:val="20"/>
        </w:rPr>
        <w:t>We have not provided the GAAP net income (loss) outlook or a reconciliation of Adjusted EBITDA outlook to GAAP net income (loss) as a result of the uncertainty regarding, and the potential variability of, reconciling items such as stock-based compensation, acquisition related expense, and unrealized foreign exchange gains or losses. Accordingly, a reconciliation of Adjusted EBITDA outlook to GAAP net income (loss) outlook is not available without unreasonable effort. However, it is important to note that the reconciling items could have a significant effect on future GAAP results. We have provided historical reconciliations of GAAP to non-GAAP financial measures in tables at the end of this release. For more information regarding the non-GAAP financial measures discussed in this earnings release, please see “Non-GAAP Financial Measures” below.</w:t>
      </w:r>
      <w:r>
        <w:rPr/>
        <w:t xml:space="preserve"> </w:t>
      </w:r>
    </w:p>
    <w:p>
      <w:pPr>
        <w:pStyle w:val="TextBody"/>
        <w:bidi w:val="0"/>
        <w:spacing w:before="0" w:after="0"/>
        <w:jc w:val="both"/>
        <w:rPr/>
      </w:pPr>
      <w:r>
        <w:rPr/>
        <w:t xml:space="preserve">  </w:t>
      </w:r>
    </w:p>
    <w:p>
      <w:pPr>
        <w:pStyle w:val="TextBody"/>
        <w:bidi w:val="0"/>
        <w:spacing w:before="0" w:after="0"/>
        <w:jc w:val="both"/>
        <w:rPr>
          <w:b/>
          <w:sz w:val="22"/>
        </w:rPr>
      </w:pPr>
      <w:r>
        <w:rPr>
          <w:b/>
          <w:sz w:val="20"/>
        </w:rPr>
        <w:t>Webcast and conference call information</w:t>
      </w:r>
      <w:r>
        <w:rPr>
          <w:b/>
          <w:sz w:val="22"/>
        </w:rPr>
        <w:t xml:space="preserve"> </w:t>
      </w:r>
    </w:p>
    <w:p>
      <w:pPr>
        <w:pStyle w:val="TextBody"/>
        <w:bidi w:val="0"/>
        <w:spacing w:before="0" w:after="0"/>
        <w:jc w:val="both"/>
        <w:rPr/>
      </w:pPr>
      <w:r>
        <w:rPr/>
        <w:t xml:space="preserve">  </w:t>
      </w:r>
    </w:p>
    <w:p>
      <w:pPr>
        <w:pStyle w:val="TextBody"/>
        <w:bidi w:val="0"/>
        <w:spacing w:before="0" w:after="0"/>
        <w:jc w:val="both"/>
        <w:rPr/>
      </w:pPr>
      <w:r>
        <w:rPr>
          <w:sz w:val="20"/>
        </w:rPr>
        <w:t xml:space="preserve">Lime will host a conference call to discuss the results, followed by Q&amp;A, at 5:00 pm Eastern Time today, August 4, 2026. A live audio webcast and earnings release materials can be accessed on Lime’s Investor Relations page at </w:t>
      </w:r>
      <w:r>
        <w:rPr>
          <w:sz w:val="20"/>
          <w:u w:val="single"/>
        </w:rPr>
        <w:t>https://investors.li.me/</w:t>
      </w:r>
      <w:r>
        <w:rPr>
          <w:sz w:val="20"/>
        </w:rPr>
        <w:t>. The archived webcast will be available on our Investor Relations page shortly after the call.</w:t>
      </w:r>
      <w:r>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0" w:after="0"/>
        <w:jc w:val="both"/>
        <w:rPr/>
      </w:pPr>
      <w:r>
        <w:rPr/>
        <w:t> </w:t>
      </w:r>
      <w:r>
        <w:rPr/>
        <w:drawing>
          <wp:inline distT="0" distB="0" distL="0" distR="0">
            <wp:extent cx="1190625" cy="485775"/>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1190625" cy="485775"/>
                    </a:xfrm>
                    <a:prstGeom prst="rect">
                      <a:avLst/>
                    </a:prstGeom>
                  </pic:spPr>
                </pic:pic>
              </a:graphicData>
            </a:graphic>
          </wp:inline>
        </w:drawing>
      </w:r>
    </w:p>
    <w:p>
      <w:pPr>
        <w:pStyle w:val="TextBody"/>
        <w:bidi w:val="0"/>
        <w:spacing w:before="0" w:after="0"/>
        <w:jc w:val="both"/>
        <w:rPr/>
      </w:pPr>
      <w:r>
        <w:rPr/>
        <w:t> </w:t>
      </w:r>
    </w:p>
    <w:p>
      <w:pPr>
        <w:pStyle w:val="TextBody"/>
        <w:bidi w:val="0"/>
        <w:spacing w:before="0" w:after="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About Lime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Lime’s mission is to build a future where transportation is shared, affordable and carbon-free. As the largest global shared micromobility business, Lime partners with cities to deploy e-bikes and e-scooters to serve shorter distance trips with sustainable transport options. Lime has powered more than one billion rides across five continents, spurring a new generation of clean alternatives to car ownership.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Contacts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Investor Relations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Investors@li.me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Media Relations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Press@li.me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Forward Looking Statements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press release contains forward-looking statements within the meaning of the Securities Act of 1933, as amended, the Securities Exchange Act of 1934, as amended, and the Private Securities Litigation Reform Act of 1995.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“goal,” “objective,” “positions,” “seeks” or “continue,” or the negative of these words or other similar terms or expressions that concern our expectations, strategy, plans or intentions. Forward-looking statements in this release include, but are not limited to, statements regarding our future financial and operating performance, market opportunity, market trends, business strategy and plans, and GAAP and non-GAAP guidance. Our expectations and beliefs regarding these matters may not materialize, and actual results in future periods are subject to risks and uncertainties that could cause actual results to differ materially from those projected, including those more fully described under the caption “Risk Factors” and elsewhere in our prospectus filed with the Securities and Exchange Commission pursuant to Rule 424(b) under the Securities Act of 1933, as amended, on July 2, 2026 and in other documents that we file with the SEC from time to time, including our Quarterly Report on Form 10-Q for the quarter ended June 30, 2026 that will be filed following this earnings release. All information provided in this release and in the attachments is as of the date of this press release and any forward-looking statements contained herein are based on assumptions that we believe to be reasonable as of this date. Undue reliance should not be placed on the forward-looking statements contained in this press release, which are based on information available to us as of the date hereof. We undertake no obligation to update any forward-looking statements, except as required by law.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0" w:after="0"/>
        <w:jc w:val="both"/>
        <w:rPr/>
      </w:pPr>
      <w:r>
        <w:rPr/>
        <w:t> </w:t>
      </w:r>
      <w:r>
        <w:rPr/>
        <w:drawing>
          <wp:inline distT="0" distB="0" distL="0" distR="0">
            <wp:extent cx="1190625" cy="485775"/>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1190625" cy="485775"/>
                    </a:xfrm>
                    <a:prstGeom prst="rect">
                      <a:avLst/>
                    </a:prstGeom>
                  </pic:spPr>
                </pic:pic>
              </a:graphicData>
            </a:graphic>
          </wp:inline>
        </w:drawing>
      </w:r>
    </w:p>
    <w:p>
      <w:pPr>
        <w:pStyle w:val="TextBody"/>
        <w:bidi w:val="0"/>
        <w:spacing w:before="0" w:after="0"/>
        <w:jc w:val="both"/>
        <w:rPr/>
      </w:pPr>
      <w:r>
        <w:rPr/>
        <w:t> </w:t>
      </w:r>
    </w:p>
    <w:p>
      <w:pPr>
        <w:pStyle w:val="TextBody"/>
        <w:bidi w:val="0"/>
        <w:spacing w:before="0" w:after="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Key Operating Metrics Definitions </w: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 xml:space="preserve">Average Operational Fleet: </w:t>
      </w:r>
      <w:r>
        <w:rPr>
          <w:rFonts w:ascii="TimesNewRoman;Times New Roman;Times;Baskerville;Georgia;serif" w:hAnsi="TimesNewRoman;Times New Roman;Times;Baskerville;Georgia;serif"/>
          <w:sz w:val="20"/>
        </w:rPr>
        <w:t xml:space="preserve">Our operational fleet, defined as the total number of vehicles available on our platform, represents the average number of vehicles available for use for at least one hour per day during a specific period.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28600" cy="175260"/>
                <wp:effectExtent l="0" t="0" r="0" b="0"/>
                <wp:wrapSquare wrapText="right"/>
                <wp:docPr id="22"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Revenue per Vehicle per Day (RVD):</w:t>
      </w:r>
      <w:r>
        <w:rPr>
          <w:rFonts w:ascii="TimesNewRoman;Times New Roman;Times;Baskerville;Georgia;serif" w:hAnsi="TimesNewRoman;Times New Roman;Times;Baskerville;Georgia;serif"/>
          <w:sz w:val="20"/>
        </w:rPr>
        <w:t xml:space="preserve"> We define RVD as the average daily revenue generated by each operational vehicle in our fleet. This is calculated by taking the ratio of revenue to average operational fleet and then dividing by the number of days in the period.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28600" cy="175260"/>
                <wp:effectExtent l="0" t="0" r="0" b="0"/>
                <wp:wrapSquare wrapText="right"/>
                <wp:docPr id="23"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 xml:space="preserve">Monthly Active Users (MAU): </w:t>
      </w:r>
      <w:r>
        <w:rPr>
          <w:rFonts w:ascii="TimesNewRoman;Times New Roman;Times;Baskerville;Georgia;serif" w:hAnsi="TimesNewRoman;Times New Roman;Times;Baskerville;Georgia;serif"/>
          <w:sz w:val="20"/>
        </w:rPr>
        <w:t xml:space="preserve">We define Monthly Active Users as the total number of unique riders who complete at least one e-scooter or e-bike trip on our platform at least once in a given month, averaged over each month in the measurement period.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28600" cy="175260"/>
                <wp:effectExtent l="0" t="0" r="0" b="0"/>
                <wp:wrapSquare wrapText="right"/>
                <wp:docPr id="24"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Non-GAAP Financial Measures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 supplement our consolidated financial statements prepared and presented in accordance with GAAP, we use certain non-GAAP financial measures, as described below, to facilitate analysis of our financial and business trends and for internal planning and forecasting purposes.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use Adjusted Gross Profit, Adjusted EBITDA and Free Cash Flow in conjunction with GAAP measures to evaluate our performance, inform our budgeting and capital allocation decisions, and assess the effectiveness of our business strategies. We believe these non-GAAP financial measures provide valuable insights to investors, enhancing their understanding of our historical performance and future potential. They also offer transparency into the metrics our management team utilizes for financial and operational decision-making. By presenting Adjusted Gross Profit, Adjusted EBITDA, and Free Cash Flow we aim to provide investors with a view of our business and financial performance through the lens of management, offering an additional tool for comparing our operational results across multiple periods.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It is important to note that our definitions of these non-GAAP financial measures may differ from similarly titled metrics used by other companies. Furthermore, other companies may not publish these or similar metrics. These metrics also have inherent limitations, as they exclude the impact of certain expenses reflected in our consolidated statements of operations. Therefore, Adjusted Gross Profit, Adjusted EBITDA and Free Cash Flow should be considered as supplementary information, and not as substitutes for, or in isolation from, measures prepared in accordance with GAAP.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0" w:after="0"/>
        <w:jc w:val="both"/>
        <w:rPr/>
      </w:pPr>
      <w:r>
        <w:rPr/>
        <w:t> </w:t>
      </w:r>
      <w:r>
        <w:rPr/>
        <w:drawing>
          <wp:inline distT="0" distB="0" distL="0" distR="0">
            <wp:extent cx="1190625" cy="485775"/>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6"/>
                    <a:stretch>
                      <a:fillRect/>
                    </a:stretch>
                  </pic:blipFill>
                  <pic:spPr bwMode="auto">
                    <a:xfrm>
                      <a:off x="0" y="0"/>
                      <a:ext cx="1190625" cy="485775"/>
                    </a:xfrm>
                    <a:prstGeom prst="rect">
                      <a:avLst/>
                    </a:prstGeom>
                  </pic:spPr>
                </pic:pic>
              </a:graphicData>
            </a:graphic>
          </wp:inline>
        </w:drawing>
      </w:r>
    </w:p>
    <w:p>
      <w:pPr>
        <w:pStyle w:val="TextBody"/>
        <w:bidi w:val="0"/>
        <w:spacing w:before="0" w:after="0"/>
        <w:jc w:val="both"/>
        <w:rPr/>
      </w:pPr>
      <w:r>
        <w:rPr/>
        <w:t>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Adjusted Gross Profit is defined as gross profit excluding depreciation and amortization. By removing these non-cash expenses, Adjusted Gross Profit can be used to evaluate the unit economic profile of the business, highlighting the profitability of each ride or city before accounting for the long-term allocation of asset costs. This approach helps in assessing the direct operational efficiency and profitability tied to the core activities that drive revenue. Adjusted Gross Margin is calculated by dividing Adjusted Gross Profit for a period by revenue for the same period.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Adjusted EBITDA is a key performance metric we use to assess our core operating performance and operating leverage by excluding items that are non-cash or are not indicative of our ongoing business results. It is calculated by starting with net income (loss) and then adjusted to exclude interest expense, income tax (including a discrete tax benefit resulting from the release of the valuation allowance on the Company's U.S. federal and state deferred tax assets), depreciation and amortization (which includes vehicle depreciation, non-vehicle depreciation, and the amortization of capitalized software and cloud computing arrangements), gain/loss on vehicle disposals, and stock-based compensation. Furthermore, we exclude other expense, net; this category encompasses the change in the fair value of our convertible notes issued in 2021, interest income, other miscellaneous income or expense and all realized and unrealized foreign exchange gains or losses. We also adjusted to exclude costs related to non-recurring IPO and public company readiness efforts and expenses related to acquisitions. By removing these specific financial, non-cash, and non-core operational items, Adjusted EBITDA provides a clearer view of the profitability and cash-generating potential of our fundamental business operations.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Free Cash Flow is defined as net cash provided by operating activities less capital expenditures for vehicle and non-vehicle assets.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reconciliation is provided at the end of this press release for each historical non-GAAP financial measure to the most directly comparable financial measure stated in accordance with U.S. GAAP. We encourage investors to review the related U.S. GAAP financial measures and the reconciliation of these non-GAAP financial measures to their most directly comparable U.S. GAAP financial measures, and not to rely on any single financial measure to evaluate our business.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rPr/>
      </w:pPr>
      <w:r>
        <w:rPr/>
      </w:r>
    </w:p>
    <w:p>
      <w:pPr>
        <w:pStyle w:val="TextBody"/>
        <w:bidi w:val="0"/>
        <w:spacing w:before="0" w:after="0"/>
        <w:jc w:val="both"/>
        <w:rPr/>
      </w:pPr>
      <w:r>
        <w:rPr/>
        <w:t> </w:t>
      </w:r>
      <w:r>
        <w:rPr/>
        <w:drawing>
          <wp:inline distT="0" distB="0" distL="0" distR="0">
            <wp:extent cx="1190625" cy="485775"/>
            <wp:effectExtent l="0" t="0" r="0" b="0"/>
            <wp:docPr id="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 descr=""/>
                    <pic:cNvPicPr>
                      <a:picLocks noChangeAspect="1" noChangeArrowheads="1"/>
                    </pic:cNvPicPr>
                  </pic:nvPicPr>
                  <pic:blipFill>
                    <a:blip r:embed="rId7"/>
                    <a:stretch>
                      <a:fillRect/>
                    </a:stretch>
                  </pic:blipFill>
                  <pic:spPr bwMode="auto">
                    <a:xfrm>
                      <a:off x="0" y="0"/>
                      <a:ext cx="1190625" cy="485775"/>
                    </a:xfrm>
                    <a:prstGeom prst="rect">
                      <a:avLst/>
                    </a:prstGeom>
                  </pic:spPr>
                </pic:pic>
              </a:graphicData>
            </a:graphic>
          </wp:inline>
        </w:drawing>
      </w:r>
    </w:p>
    <w:p>
      <w:pPr>
        <w:pStyle w:val="TextBody"/>
        <w:bidi w:val="0"/>
        <w:spacing w:before="0" w:after="0"/>
        <w:jc w:val="both"/>
        <w:rPr/>
      </w:pPr>
      <w:r>
        <w:rPr/>
        <w:t>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NEUTRON HOLDINGS, INC.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CONSOLIDATED BALANCE SHEETS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(in thousands, except share and per share amounts)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(Unaudited)</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6682"/>
        <w:gridCol w:w="90"/>
        <w:gridCol w:w="201"/>
        <w:gridCol w:w="1197"/>
        <w:gridCol w:w="185"/>
        <w:gridCol w:w="90"/>
        <w:gridCol w:w="220"/>
        <w:gridCol w:w="1308"/>
        <w:gridCol w:w="232"/>
      </w:tblGrid>
      <w:tr>
        <w:trPr/>
        <w:tc>
          <w:tcPr>
            <w:tcW w:w="66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398" w:type="dxa"/>
            <w:gridSpan w:val="2"/>
            <w:tcBorders>
              <w:bottom w:val="single" w:sz="12" w:space="0" w:color="000000"/>
            </w:tcBorders>
            <w:tcMar>
              <w:bottom w:w="28" w:type="dxa"/>
            </w:tcMar>
            <w:vAlign w:val="center"/>
          </w:tcPr>
          <w:p>
            <w:pPr>
              <w:pStyle w:val="TableContents"/>
              <w:bidi w:val="0"/>
              <w:spacing w:before="0" w:after="283"/>
              <w:jc w:val="center"/>
              <w:rPr/>
            </w:pPr>
            <w:r>
              <w:rPr>
                <w:b/>
              </w:rPr>
              <w:t>As of June 30, 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8" w:type="dxa"/>
            <w:gridSpan w:val="2"/>
            <w:tcBorders>
              <w:bottom w:val="single" w:sz="12" w:space="0" w:color="000000"/>
            </w:tcBorders>
            <w:tcMar>
              <w:bottom w:w="28" w:type="dxa"/>
            </w:tcMar>
            <w:vAlign w:val="center"/>
          </w:tcPr>
          <w:p>
            <w:pPr>
              <w:pStyle w:val="TableContents"/>
              <w:bidi w:val="0"/>
              <w:spacing w:before="0" w:after="283"/>
              <w:jc w:val="center"/>
              <w:rPr/>
            </w:pPr>
            <w:r>
              <w:rPr>
                <w:b/>
              </w:rPr>
              <w:t>As of December 31, 2025</w:t>
            </w:r>
            <w:r>
              <w:rPr/>
              <w:t xml:space="preserve"> </w:t>
            </w:r>
          </w:p>
        </w:tc>
        <w:tc>
          <w:tcPr>
            <w:tcW w:w="232" w:type="dxa"/>
            <w:tcBorders/>
            <w:vAlign w:val="center"/>
          </w:tcPr>
          <w:p>
            <w:pPr>
              <w:pStyle w:val="TableContents"/>
              <w:bidi w:val="0"/>
              <w:spacing w:before="0" w:after="283"/>
              <w:jc w:val="center"/>
              <w:rPr/>
            </w:pPr>
            <w:r>
              <w:rPr/>
              <w:t> </w:t>
            </w:r>
          </w:p>
        </w:tc>
      </w:tr>
      <w:tr>
        <w:trPr/>
        <w:tc>
          <w:tcPr>
            <w:tcW w:w="6682" w:type="dxa"/>
            <w:tcBorders/>
            <w:shd w:fill="CCEEFF" w:val="clear"/>
            <w:vAlign w:val="center"/>
          </w:tcPr>
          <w:p>
            <w:pPr>
              <w:pStyle w:val="TableContents"/>
              <w:bidi w:val="0"/>
              <w:spacing w:before="0" w:after="0"/>
              <w:jc w:val="left"/>
              <w:rPr/>
            </w:pPr>
            <w:r>
              <w:rPr>
                <w:b/>
              </w:rPr>
              <w:t>Assets</w:t>
            </w:r>
            <w:r>
              <w:rPr/>
              <w:t xml:space="preserve"> </w:t>
            </w:r>
          </w:p>
        </w:tc>
        <w:tc>
          <w:tcPr>
            <w:tcW w:w="90" w:type="dxa"/>
            <w:tcBorders/>
            <w:shd w:fill="CCEEFF" w:val="clear"/>
            <w:vAlign w:val="center"/>
          </w:tcPr>
          <w:p>
            <w:pPr>
              <w:pStyle w:val="TableContents"/>
              <w:bidi w:val="0"/>
              <w:spacing w:before="0" w:after="283"/>
              <w:jc w:val="left"/>
              <w:rPr/>
            </w:pPr>
            <w:r>
              <w:rPr/>
              <w:t> </w:t>
            </w:r>
          </w:p>
        </w:tc>
        <w:tc>
          <w:tcPr>
            <w:tcW w:w="201" w:type="dxa"/>
            <w:tcBorders>
              <w:top w:val="single" w:sz="8" w:space="0" w:color="000000"/>
            </w:tcBorders>
            <w:shd w:fill="CCEEFF" w:val="clear"/>
            <w:tcMar>
              <w:top w:w="28" w:type="dxa"/>
            </w:tcMar>
            <w:vAlign w:val="center"/>
          </w:tcPr>
          <w:p>
            <w:pPr>
              <w:pStyle w:val="TableContents"/>
              <w:bidi w:val="0"/>
              <w:spacing w:before="0" w:after="283"/>
              <w:jc w:val="left"/>
              <w:rPr/>
            </w:pPr>
            <w:r>
              <w:rPr/>
              <w:t> </w:t>
            </w:r>
          </w:p>
        </w:tc>
        <w:tc>
          <w:tcPr>
            <w:tcW w:w="1197" w:type="dxa"/>
            <w:tcBorders>
              <w:top w:val="single" w:sz="8" w:space="0" w:color="000000"/>
            </w:tcBorders>
            <w:shd w:fill="CCEEFF" w:val="clear"/>
            <w:tcMar>
              <w:top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top w:val="single" w:sz="8" w:space="0" w:color="000000"/>
            </w:tcBorders>
            <w:shd w:fill="CCEEFF" w:val="clear"/>
            <w:tcMar>
              <w:top w:w="28" w:type="dxa"/>
            </w:tcMar>
            <w:vAlign w:val="center"/>
          </w:tcPr>
          <w:p>
            <w:pPr>
              <w:pStyle w:val="TableContents"/>
              <w:bidi w:val="0"/>
              <w:spacing w:before="0" w:after="283"/>
              <w:jc w:val="left"/>
              <w:rPr/>
            </w:pPr>
            <w:r>
              <w:rPr/>
              <w:t> </w:t>
            </w:r>
          </w:p>
        </w:tc>
        <w:tc>
          <w:tcPr>
            <w:tcW w:w="1308" w:type="dxa"/>
            <w:tcBorders>
              <w:top w:val="single" w:sz="8" w:space="0" w:color="000000"/>
            </w:tcBorders>
            <w:shd w:fill="CCEEFF" w:val="clear"/>
            <w:tcMar>
              <w:top w:w="28" w:type="dxa"/>
            </w:tcM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t xml:space="preserve">Current assets: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Cash and cash equivalents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01"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278,065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339,825</w:t>
            </w:r>
          </w:p>
        </w:tc>
        <w:tc>
          <w:tcPr>
            <w:tcW w:w="232" w:type="dxa"/>
            <w:tcBorders/>
            <w:shd w:fill="CCEEFF" w:val="cle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t xml:space="preserve">Short-term restricted cash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55,671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69,470</w:t>
            </w:r>
          </w:p>
        </w:tc>
        <w:tc>
          <w:tcPr>
            <w:tcW w:w="232" w:type="dxa"/>
            <w:tcBorders/>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Accounts receivable, net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27,900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8,145</w:t>
            </w:r>
          </w:p>
        </w:tc>
        <w:tc>
          <w:tcPr>
            <w:tcW w:w="232" w:type="dxa"/>
            <w:tcBorders/>
            <w:shd w:fill="CCEEFF" w:val="cle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t xml:space="preserve">Deposits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1,285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225</w:t>
            </w:r>
          </w:p>
        </w:tc>
        <w:tc>
          <w:tcPr>
            <w:tcW w:w="232" w:type="dxa"/>
            <w:tcBorders/>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Prepaid expenses and other current assets </w:t>
            </w:r>
          </w:p>
        </w:tc>
        <w:tc>
          <w:tcPr>
            <w:tcW w:w="90" w:type="dxa"/>
            <w:tcBorders/>
            <w:shd w:fill="CCEEFF" w:val="clear"/>
            <w:vAlign w:val="center"/>
          </w:tcPr>
          <w:p>
            <w:pPr>
              <w:pStyle w:val="TableContents"/>
              <w:bidi w:val="0"/>
              <w:spacing w:before="0" w:after="283"/>
              <w:jc w:val="righ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113,890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shd w:fill="CCEEFF" w:val="clear"/>
            <w:tcMar>
              <w:bottom w:w="28" w:type="dxa"/>
            </w:tcMar>
            <w:vAlign w:val="center"/>
          </w:tcPr>
          <w:p>
            <w:pPr>
              <w:pStyle w:val="TableContents"/>
              <w:bidi w:val="0"/>
              <w:spacing w:before="0" w:after="283"/>
              <w:jc w:val="right"/>
              <w:rPr/>
            </w:pPr>
            <w:r>
              <w:rPr/>
              <w:t>69,175</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b/>
              </w:rPr>
              <w:t>Total current assets</w:t>
            </w:r>
            <w:r>
              <w:rPr/>
              <w:t xml:space="preserve"> </w:t>
            </w:r>
          </w:p>
        </w:tc>
        <w:tc>
          <w:tcPr>
            <w:tcW w:w="90" w:type="dxa"/>
            <w:tcBorders/>
            <w:vAlign w:val="center"/>
          </w:tcPr>
          <w:p>
            <w:pPr>
              <w:pStyle w:val="TableContents"/>
              <w:bidi w:val="0"/>
              <w:spacing w:before="0" w:after="283"/>
              <w:jc w:val="right"/>
              <w:rPr/>
            </w:pPr>
            <w:r>
              <w:rPr/>
              <w:t> </w:t>
            </w:r>
          </w:p>
        </w:tc>
        <w:tc>
          <w:tcPr>
            <w:tcW w:w="201" w:type="dxa"/>
            <w:tcBorders>
              <w:bottom w:val="double" w:sz="8" w:space="0" w:color="000000"/>
            </w:tcBorders>
            <w:tcMar>
              <w:bottom w:w="28" w:type="dxa"/>
            </w:tcMar>
            <w:vAlign w:val="center"/>
          </w:tcPr>
          <w:p>
            <w:pPr>
              <w:pStyle w:val="TableContents"/>
              <w:bidi w:val="0"/>
              <w:spacing w:before="0" w:after="283"/>
              <w:jc w:val="left"/>
              <w:rPr/>
            </w:pPr>
            <w:r>
              <w:rPr/>
              <w:t> </w:t>
            </w:r>
          </w:p>
        </w:tc>
        <w:tc>
          <w:tcPr>
            <w:tcW w:w="1197" w:type="dxa"/>
            <w:tcBorders>
              <w:bottom w:val="double" w:sz="8" w:space="0" w:color="000000"/>
            </w:tcBorders>
            <w:tcMar>
              <w:bottom w:w="28" w:type="dxa"/>
            </w:tcMar>
            <w:vAlign w:val="center"/>
          </w:tcPr>
          <w:p>
            <w:pPr>
              <w:pStyle w:val="TableContents"/>
              <w:bidi w:val="0"/>
              <w:spacing w:before="0" w:after="283"/>
              <w:jc w:val="right"/>
              <w:rPr>
                <w:b/>
              </w:rPr>
            </w:pPr>
            <w:r>
              <w:rPr>
                <w:b/>
              </w:rPr>
              <w:t>476,811</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bottom w:val="double" w:sz="8" w:space="0" w:color="000000"/>
            </w:tcBorders>
            <w:tcMar>
              <w:bottom w:w="28" w:type="dxa"/>
            </w:tcMar>
            <w:vAlign w:val="center"/>
          </w:tcPr>
          <w:p>
            <w:pPr>
              <w:pStyle w:val="TableContents"/>
              <w:bidi w:val="0"/>
              <w:spacing w:before="0" w:after="283"/>
              <w:jc w:val="left"/>
              <w:rPr/>
            </w:pPr>
            <w:r>
              <w:rPr/>
              <w:t> </w:t>
            </w:r>
          </w:p>
        </w:tc>
        <w:tc>
          <w:tcPr>
            <w:tcW w:w="1308" w:type="dxa"/>
            <w:tcBorders>
              <w:bottom w:val="double" w:sz="8" w:space="0" w:color="000000"/>
            </w:tcBorders>
            <w:tcMar>
              <w:bottom w:w="28" w:type="dxa"/>
            </w:tcMar>
            <w:vAlign w:val="center"/>
          </w:tcPr>
          <w:p>
            <w:pPr>
              <w:pStyle w:val="TableContents"/>
              <w:bidi w:val="0"/>
              <w:spacing w:before="0" w:after="283"/>
              <w:jc w:val="right"/>
              <w:rPr>
                <w:b/>
              </w:rPr>
            </w:pPr>
            <w:r>
              <w:rPr>
                <w:b/>
              </w:rPr>
              <w:t>486,840</w:t>
            </w:r>
          </w:p>
        </w:tc>
        <w:tc>
          <w:tcPr>
            <w:tcW w:w="232"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Property and equipment, net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332,499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254,517</w:t>
            </w:r>
          </w:p>
        </w:tc>
        <w:tc>
          <w:tcPr>
            <w:tcW w:w="232" w:type="dxa"/>
            <w:tcBorders/>
            <w:shd w:fill="CCEEFF" w:val="cle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t xml:space="preserve">Long-term restricted cash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5,457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6,006</w:t>
            </w:r>
          </w:p>
        </w:tc>
        <w:tc>
          <w:tcPr>
            <w:tcW w:w="232" w:type="dxa"/>
            <w:tcBorders/>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Operating lease right-of-use assets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40,029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29,952</w:t>
            </w:r>
          </w:p>
        </w:tc>
        <w:tc>
          <w:tcPr>
            <w:tcW w:w="232" w:type="dxa"/>
            <w:tcBorders/>
            <w:shd w:fill="CCEEFF" w:val="cle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t xml:space="preserve">Deferred tax assets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303,289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8,623</w:t>
            </w:r>
          </w:p>
        </w:tc>
        <w:tc>
          <w:tcPr>
            <w:tcW w:w="232" w:type="dxa"/>
            <w:tcBorders/>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Other long-term assets </w:t>
            </w:r>
          </w:p>
        </w:tc>
        <w:tc>
          <w:tcPr>
            <w:tcW w:w="90" w:type="dxa"/>
            <w:tcBorders/>
            <w:shd w:fill="CCEEFF" w:val="clear"/>
            <w:vAlign w:val="center"/>
          </w:tcPr>
          <w:p>
            <w:pPr>
              <w:pStyle w:val="TableContents"/>
              <w:bidi w:val="0"/>
              <w:spacing w:before="0" w:after="283"/>
              <w:jc w:val="righ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17,649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shd w:fill="CCEEFF" w:val="clear"/>
            <w:tcMar>
              <w:bottom w:w="28" w:type="dxa"/>
            </w:tcMar>
            <w:vAlign w:val="center"/>
          </w:tcPr>
          <w:p>
            <w:pPr>
              <w:pStyle w:val="TableContents"/>
              <w:bidi w:val="0"/>
              <w:spacing w:before="0" w:after="283"/>
              <w:jc w:val="right"/>
              <w:rPr/>
            </w:pPr>
            <w:r>
              <w:rPr/>
              <w:t>8,349</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b/>
              </w:rPr>
              <w:t>Total assets</w:t>
            </w:r>
            <w:r>
              <w:rPr/>
              <w:t xml:space="preserve"> </w:t>
            </w:r>
          </w:p>
        </w:tc>
        <w:tc>
          <w:tcPr>
            <w:tcW w:w="90" w:type="dxa"/>
            <w:tcBorders/>
            <w:vAlign w:val="center"/>
          </w:tcPr>
          <w:p>
            <w:pPr>
              <w:pStyle w:val="TableContents"/>
              <w:bidi w:val="0"/>
              <w:spacing w:before="0" w:after="283"/>
              <w:jc w:val="right"/>
              <w:rPr/>
            </w:pPr>
            <w:r>
              <w:rPr/>
              <w:t> </w:t>
            </w:r>
          </w:p>
        </w:tc>
        <w:tc>
          <w:tcPr>
            <w:tcW w:w="201"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97" w:type="dxa"/>
            <w:tcBorders>
              <w:bottom w:val="double" w:sz="8" w:space="0" w:color="000000"/>
            </w:tcBorders>
            <w:tcMar>
              <w:bottom w:w="28" w:type="dxa"/>
            </w:tcMar>
            <w:vAlign w:val="center"/>
          </w:tcPr>
          <w:p>
            <w:pPr>
              <w:pStyle w:val="TableContents"/>
              <w:bidi w:val="0"/>
              <w:spacing w:before="0" w:after="283"/>
              <w:jc w:val="right"/>
              <w:rPr>
                <w:b/>
              </w:rPr>
            </w:pPr>
            <w:r>
              <w:rPr>
                <w:b/>
              </w:rPr>
              <w:t>1,175,734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308" w:type="dxa"/>
            <w:tcBorders>
              <w:bottom w:val="double" w:sz="8" w:space="0" w:color="000000"/>
            </w:tcBorders>
            <w:tcMar>
              <w:bottom w:w="28" w:type="dxa"/>
            </w:tcMar>
            <w:vAlign w:val="center"/>
          </w:tcPr>
          <w:p>
            <w:pPr>
              <w:pStyle w:val="TableContents"/>
              <w:bidi w:val="0"/>
              <w:spacing w:before="0" w:after="283"/>
              <w:jc w:val="right"/>
              <w:rPr>
                <w:b/>
              </w:rPr>
            </w:pPr>
            <w:r>
              <w:rPr>
                <w:b/>
              </w:rPr>
              <w:t>794,287</w:t>
            </w:r>
          </w:p>
        </w:tc>
        <w:tc>
          <w:tcPr>
            <w:tcW w:w="232" w:type="dxa"/>
            <w:tcBorders>
              <w:bottom w:val="double" w:sz="8" w:space="0" w:color="000000"/>
            </w:tcBorders>
            <w:tcMar>
              <w:bottom w:w="28" w:type="dxa"/>
            </w:tcMar>
            <w:vAlign w:val="center"/>
          </w:tcPr>
          <w:p>
            <w:pPr>
              <w:pStyle w:val="TableContents"/>
              <w:bidi w:val="0"/>
              <w:spacing w:before="0" w:after="283"/>
              <w:ind w:left="0" w:right="0" w:hanging="150"/>
              <w:jc w:val="left"/>
              <w:rPr/>
            </w:pPr>
            <w:r>
              <w:rPr/>
              <w:t> </w:t>
            </w:r>
          </w:p>
        </w:tc>
      </w:tr>
      <w:tr>
        <w:trPr/>
        <w:tc>
          <w:tcPr>
            <w:tcW w:w="10205" w:type="dxa"/>
            <w:gridSpan w:val="9"/>
            <w:tcBorders/>
            <w:shd w:fill="CCEEFF" w:val="clear"/>
            <w:vAlign w:val="center"/>
          </w:tcPr>
          <w:p>
            <w:pPr>
              <w:pStyle w:val="TableContents"/>
              <w:bidi w:val="0"/>
              <w:spacing w:before="0" w:after="0"/>
              <w:jc w:val="left"/>
              <w:rPr/>
            </w:pPr>
            <w:r>
              <w:rPr>
                <w:b/>
              </w:rPr>
              <w:t>Liabilities, Convertible Preferred Stock and Stockholders’ Equity (Deficit)</w:t>
            </w:r>
            <w:r>
              <w:rPr/>
              <w:t xml:space="preserve"> </w:t>
            </w:r>
          </w:p>
        </w:tc>
      </w:tr>
      <w:tr>
        <w:trPr/>
        <w:tc>
          <w:tcPr>
            <w:tcW w:w="6682" w:type="dxa"/>
            <w:tcBorders/>
            <w:vAlign w:val="center"/>
          </w:tcPr>
          <w:p>
            <w:pPr>
              <w:pStyle w:val="TableContents"/>
              <w:bidi w:val="0"/>
              <w:spacing w:before="0" w:after="0"/>
              <w:jc w:val="left"/>
              <w:rPr/>
            </w:pPr>
            <w:r>
              <w:rPr/>
              <w:t xml:space="preserve">Current liabilities: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right"/>
              <w:rPr/>
            </w:pPr>
            <w:r>
              <w:rPr/>
              <w:t> </w:t>
            </w:r>
          </w:p>
        </w:tc>
        <w:tc>
          <w:tcPr>
            <w:tcW w:w="1197"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right"/>
              <w:rPr/>
            </w:pPr>
            <w:r>
              <w:rPr/>
              <w:t> </w:t>
            </w:r>
          </w:p>
        </w:tc>
        <w:tc>
          <w:tcPr>
            <w:tcW w:w="1308"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6682" w:type="dxa"/>
            <w:tcBorders/>
            <w:shd w:fill="CCEEFF" w:val="clear"/>
            <w:vAlign w:val="center"/>
          </w:tcPr>
          <w:p>
            <w:pPr>
              <w:pStyle w:val="TableContents"/>
              <w:bidi w:val="0"/>
              <w:spacing w:before="0" w:after="0"/>
              <w:jc w:val="left"/>
              <w:rPr/>
            </w:pPr>
            <w:r>
              <w:rPr/>
              <w:t xml:space="preserve">Accounts payable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9,304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8,211</w:t>
            </w:r>
          </w:p>
        </w:tc>
        <w:tc>
          <w:tcPr>
            <w:tcW w:w="232" w:type="dxa"/>
            <w:tcBorders/>
            <w:shd w:fill="CCEEFF" w:val="cle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t xml:space="preserve">Accrued liabilities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106,870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82,061</w:t>
            </w:r>
          </w:p>
        </w:tc>
        <w:tc>
          <w:tcPr>
            <w:tcW w:w="232" w:type="dxa"/>
            <w:tcBorders/>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Accrued compensation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14,565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21,245</w:t>
            </w:r>
          </w:p>
        </w:tc>
        <w:tc>
          <w:tcPr>
            <w:tcW w:w="232" w:type="dxa"/>
            <w:tcBorders/>
            <w:shd w:fill="CCEEFF" w:val="cle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t xml:space="preserve">Accrued taxes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36,203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25,559</w:t>
            </w:r>
          </w:p>
        </w:tc>
        <w:tc>
          <w:tcPr>
            <w:tcW w:w="232" w:type="dxa"/>
            <w:tcBorders/>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Operating lease liabilities, current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11,508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10,783</w:t>
            </w:r>
          </w:p>
        </w:tc>
        <w:tc>
          <w:tcPr>
            <w:tcW w:w="232" w:type="dxa"/>
            <w:tcBorders/>
            <w:shd w:fill="CCEEFF" w:val="cle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t xml:space="preserve">Contract liabilities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5,661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6,301</w:t>
            </w:r>
          </w:p>
        </w:tc>
        <w:tc>
          <w:tcPr>
            <w:tcW w:w="232" w:type="dxa"/>
            <w:tcBorders/>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Term loan, current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114,622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113,866</w:t>
            </w:r>
          </w:p>
        </w:tc>
        <w:tc>
          <w:tcPr>
            <w:tcW w:w="232" w:type="dxa"/>
            <w:tcBorders/>
            <w:shd w:fill="CCEEFF" w:val="cle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t xml:space="preserve">2021 Notes, current </w:t>
            </w:r>
          </w:p>
        </w:tc>
        <w:tc>
          <w:tcPr>
            <w:tcW w:w="90" w:type="dxa"/>
            <w:tcBorders/>
            <w:vAlign w:val="center"/>
          </w:tcPr>
          <w:p>
            <w:pPr>
              <w:pStyle w:val="TableContents"/>
              <w:bidi w:val="0"/>
              <w:spacing w:before="0" w:after="283"/>
              <w:jc w:val="righ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tcMar>
              <w:bottom w:w="28" w:type="dxa"/>
            </w:tcMar>
            <w:vAlign w:val="center"/>
          </w:tcPr>
          <w:p>
            <w:pPr>
              <w:pStyle w:val="TableContents"/>
              <w:bidi w:val="0"/>
              <w:spacing w:before="0" w:after="283"/>
              <w:jc w:val="right"/>
              <w:rPr/>
            </w:pPr>
            <w:r>
              <w:rPr/>
              <w:t>660,324</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b/>
              </w:rPr>
              <w:t>Total current liabilities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20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298,733</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928,350</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t xml:space="preserve">2020 Notes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207,885</w:t>
            </w:r>
          </w:p>
        </w:tc>
        <w:tc>
          <w:tcPr>
            <w:tcW w:w="232" w:type="dxa"/>
            <w:tcBorders/>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Operating lease liabilities, non-current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30,138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20,033</w:t>
            </w:r>
          </w:p>
        </w:tc>
        <w:tc>
          <w:tcPr>
            <w:tcW w:w="232" w:type="dxa"/>
            <w:tcBorders/>
            <w:shd w:fill="CCEEFF" w:val="cle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t xml:space="preserve">Other long-term liabilities </w:t>
            </w:r>
          </w:p>
        </w:tc>
        <w:tc>
          <w:tcPr>
            <w:tcW w:w="90" w:type="dxa"/>
            <w:tcBorders/>
            <w:vAlign w:val="center"/>
          </w:tcPr>
          <w:p>
            <w:pPr>
              <w:pStyle w:val="TableContents"/>
              <w:bidi w:val="0"/>
              <w:spacing w:before="0" w:after="283"/>
              <w:jc w:val="righ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50,659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tcMar>
              <w:bottom w:w="28" w:type="dxa"/>
            </w:tcMar>
            <w:vAlign w:val="center"/>
          </w:tcPr>
          <w:p>
            <w:pPr>
              <w:pStyle w:val="TableContents"/>
              <w:bidi w:val="0"/>
              <w:spacing w:before="0" w:after="283"/>
              <w:jc w:val="right"/>
              <w:rPr/>
            </w:pPr>
            <w:r>
              <w:rPr/>
              <w:t>45,372</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b/>
              </w:rPr>
              <w:t>Total liabilities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20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379,530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1,201,640</w:t>
            </w:r>
          </w:p>
        </w:tc>
        <w:tc>
          <w:tcPr>
            <w:tcW w:w="232" w:type="dxa"/>
            <w:tcBorders>
              <w:bottom w:val="double" w:sz="8"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6682" w:type="dxa"/>
            <w:tcBorders/>
            <w:vAlign w:val="center"/>
          </w:tcPr>
          <w:p>
            <w:pPr>
              <w:pStyle w:val="TableContents"/>
              <w:bidi w:val="0"/>
              <w:spacing w:before="0" w:after="0"/>
              <w:jc w:val="left"/>
              <w:rPr/>
            </w:pPr>
            <w:r>
              <w:rPr/>
              <w:t xml:space="preserve">Convertible preferred stock, $0.0001 par value, 20,846,055 shares authorized, 6,916,489 shares issued and outstanding as of December 31, 2025 and June 30, 2026 respectively, aggregate liquidation preference of $260,970 as of June 30, 2026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114,027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114,027</w:t>
            </w:r>
          </w:p>
        </w:tc>
        <w:tc>
          <w:tcPr>
            <w:tcW w:w="232" w:type="dxa"/>
            <w:tcBorders/>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Stockholders’ equity (deficit)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right"/>
              <w:rPr/>
            </w:pPr>
            <w:r>
              <w:rPr/>
              <w:t> </w:t>
            </w:r>
          </w:p>
        </w:tc>
        <w:tc>
          <w:tcPr>
            <w:tcW w:w="119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right"/>
              <w:rPr/>
            </w:pPr>
            <w:r>
              <w:rPr/>
              <w:t> </w:t>
            </w:r>
          </w:p>
        </w:tc>
        <w:tc>
          <w:tcPr>
            <w:tcW w:w="130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ind w:left="0" w:right="0" w:hanging="150"/>
              <w:jc w:val="right"/>
              <w:rPr/>
            </w:pPr>
            <w:r>
              <w:rPr/>
              <w:t> </w:t>
            </w:r>
          </w:p>
        </w:tc>
      </w:tr>
      <w:tr>
        <w:trPr/>
        <w:tc>
          <w:tcPr>
            <w:tcW w:w="6682" w:type="dxa"/>
            <w:tcBorders/>
            <w:vAlign w:val="center"/>
          </w:tcPr>
          <w:p>
            <w:pPr>
              <w:pStyle w:val="TableContents"/>
              <w:bidi w:val="0"/>
              <w:spacing w:before="0" w:after="0"/>
              <w:jc w:val="left"/>
              <w:rPr/>
            </w:pPr>
            <w:r>
              <w:rPr/>
              <w:t xml:space="preserve">Common stock, $0.0001 par value, 80,357,143 shares authorized, 10,847,267 and 50,819,969 issued and outstanding as of December 31, 2025 and June 30, 2026, respectively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1</w:t>
            </w:r>
          </w:p>
        </w:tc>
        <w:tc>
          <w:tcPr>
            <w:tcW w:w="232" w:type="dxa"/>
            <w:tcBorders/>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Additional paid-in capital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1,182,730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233,705</w:t>
            </w:r>
          </w:p>
        </w:tc>
        <w:tc>
          <w:tcPr>
            <w:tcW w:w="232" w:type="dxa"/>
            <w:tcBorders/>
            <w:shd w:fill="CCEEFF" w:val="cle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t xml:space="preserve">Accumulated other comprehensive income (loss)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10,525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(9,910</w:t>
            </w:r>
          </w:p>
        </w:tc>
        <w:tc>
          <w:tcPr>
            <w:tcW w:w="232" w:type="dxa"/>
            <w:tcBorders/>
            <w:vAlign w:val="center"/>
          </w:tcPr>
          <w:p>
            <w:pPr>
              <w:pStyle w:val="TableContents"/>
              <w:bidi w:val="0"/>
              <w:spacing w:before="0" w:after="283"/>
              <w:jc w:val="left"/>
              <w:rPr/>
            </w:pPr>
            <w:r>
              <w:rPr/>
              <w:t>) </w:t>
            </w:r>
          </w:p>
        </w:tc>
      </w:tr>
      <w:tr>
        <w:trPr/>
        <w:tc>
          <w:tcPr>
            <w:tcW w:w="6682" w:type="dxa"/>
            <w:tcBorders/>
            <w:shd w:fill="CCEEFF" w:val="clear"/>
            <w:vAlign w:val="center"/>
          </w:tcPr>
          <w:p>
            <w:pPr>
              <w:pStyle w:val="TableContents"/>
              <w:bidi w:val="0"/>
              <w:spacing w:before="0" w:after="0"/>
              <w:jc w:val="left"/>
              <w:rPr/>
            </w:pPr>
            <w:r>
              <w:rPr/>
              <w:t xml:space="preserve">Accumulated deficit </w:t>
            </w:r>
          </w:p>
        </w:tc>
        <w:tc>
          <w:tcPr>
            <w:tcW w:w="90" w:type="dxa"/>
            <w:tcBorders/>
            <w:shd w:fill="CCEEFF" w:val="clear"/>
            <w:vAlign w:val="center"/>
          </w:tcPr>
          <w:p>
            <w:pPr>
              <w:pStyle w:val="TableContents"/>
              <w:bidi w:val="0"/>
              <w:spacing w:before="0" w:after="283"/>
              <w:jc w:val="righ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(511,083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shd w:fill="CCEEFF" w:val="clear"/>
            <w:tcMar>
              <w:bottom w:w="28" w:type="dxa"/>
            </w:tcMar>
            <w:vAlign w:val="center"/>
          </w:tcPr>
          <w:p>
            <w:pPr>
              <w:pStyle w:val="TableContents"/>
              <w:bidi w:val="0"/>
              <w:spacing w:before="0" w:after="283"/>
              <w:jc w:val="right"/>
              <w:rPr/>
            </w:pPr>
            <w:r>
              <w:rPr/>
              <w:t>(745,176</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682" w:type="dxa"/>
            <w:tcBorders/>
            <w:vAlign w:val="center"/>
          </w:tcPr>
          <w:p>
            <w:pPr>
              <w:pStyle w:val="TableContents"/>
              <w:bidi w:val="0"/>
              <w:spacing w:before="0" w:after="0"/>
              <w:jc w:val="left"/>
              <w:rPr/>
            </w:pPr>
            <w:r>
              <w:rPr>
                <w:b/>
              </w:rPr>
              <w:t>Total stockholders’ equity (deficit)</w:t>
            </w:r>
            <w:r>
              <w:rPr/>
              <w:t xml:space="preserve"> </w:t>
            </w:r>
          </w:p>
        </w:tc>
        <w:tc>
          <w:tcPr>
            <w:tcW w:w="90" w:type="dxa"/>
            <w:tcBorders/>
            <w:vAlign w:val="center"/>
          </w:tcPr>
          <w:p>
            <w:pPr>
              <w:pStyle w:val="TableContents"/>
              <w:bidi w:val="0"/>
              <w:spacing w:before="0" w:after="283"/>
              <w:jc w:val="righ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b/>
              </w:rPr>
            </w:pPr>
            <w:r>
              <w:rPr>
                <w:b/>
              </w:rPr>
              <w:t>682,177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tcMar>
              <w:bottom w:w="28" w:type="dxa"/>
            </w:tcMar>
            <w:vAlign w:val="center"/>
          </w:tcPr>
          <w:p>
            <w:pPr>
              <w:pStyle w:val="TableContents"/>
              <w:bidi w:val="0"/>
              <w:spacing w:before="0" w:after="283"/>
              <w:jc w:val="right"/>
              <w:rPr>
                <w:b/>
              </w:rPr>
            </w:pPr>
            <w:r>
              <w:rPr>
                <w:b/>
              </w:rPr>
              <w:t>(521,380</w:t>
            </w:r>
          </w:p>
        </w:tc>
        <w:tc>
          <w:tcPr>
            <w:tcW w:w="232" w:type="dxa"/>
            <w:tcBorders>
              <w:bottom w:val="single" w:sz="12" w:space="0" w:color="000000"/>
            </w:tcBorders>
            <w:tcMar>
              <w:bottom w:w="28" w:type="dxa"/>
            </w:tcMar>
            <w:vAlign w:val="center"/>
          </w:tcPr>
          <w:p>
            <w:pPr>
              <w:pStyle w:val="TableContents"/>
              <w:bidi w:val="0"/>
              <w:spacing w:before="0" w:after="283"/>
              <w:jc w:val="left"/>
              <w:rPr>
                <w:b/>
              </w:rPr>
            </w:pPr>
            <w:r>
              <w:rPr>
                <w:b/>
              </w:rPr>
              <w:t>) </w:t>
            </w:r>
          </w:p>
        </w:tc>
      </w:tr>
      <w:tr>
        <w:trPr/>
        <w:tc>
          <w:tcPr>
            <w:tcW w:w="6682" w:type="dxa"/>
            <w:tcBorders/>
            <w:shd w:fill="CCEEFF" w:val="clear"/>
            <w:vAlign w:val="center"/>
          </w:tcPr>
          <w:p>
            <w:pPr>
              <w:pStyle w:val="TableContents"/>
              <w:bidi w:val="0"/>
              <w:spacing w:before="0" w:after="0"/>
              <w:jc w:val="left"/>
              <w:rPr/>
            </w:pPr>
            <w:r>
              <w:rPr>
                <w:b/>
              </w:rPr>
              <w:t>Total liabilities, convertible preferred stock and stockholders’ equity (deficit)</w:t>
            </w:r>
            <w:r>
              <w:rPr/>
              <w:t xml:space="preserve"> </w:t>
            </w:r>
          </w:p>
        </w:tc>
        <w:tc>
          <w:tcPr>
            <w:tcW w:w="90" w:type="dxa"/>
            <w:tcBorders/>
            <w:shd w:fill="CCEEFF" w:val="clear"/>
            <w:vAlign w:val="center"/>
          </w:tcPr>
          <w:p>
            <w:pPr>
              <w:pStyle w:val="TableContents"/>
              <w:bidi w:val="0"/>
              <w:spacing w:before="0" w:after="283"/>
              <w:jc w:val="right"/>
              <w:rPr/>
            </w:pPr>
            <w:r>
              <w:rPr/>
              <w:t> </w:t>
            </w:r>
          </w:p>
        </w:tc>
        <w:tc>
          <w:tcPr>
            <w:tcW w:w="201"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9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1,175,734</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308"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794,287</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r>
        <w:rPr/>
        <w:drawing>
          <wp:inline distT="0" distB="0" distL="0" distR="0">
            <wp:extent cx="1190625" cy="485775"/>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1190625" cy="485775"/>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NEUTRON HOLDINGS, INC.</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CONSOLIDATED STATEMENTS OF OPERATIONS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(in thousands, except share and per share amounts)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(Unaudited)</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3884"/>
        <w:gridCol w:w="90"/>
        <w:gridCol w:w="173"/>
        <w:gridCol w:w="1155"/>
        <w:gridCol w:w="189"/>
        <w:gridCol w:w="91"/>
        <w:gridCol w:w="173"/>
        <w:gridCol w:w="1155"/>
        <w:gridCol w:w="185"/>
        <w:gridCol w:w="90"/>
        <w:gridCol w:w="171"/>
        <w:gridCol w:w="1142"/>
        <w:gridCol w:w="186"/>
        <w:gridCol w:w="90"/>
        <w:gridCol w:w="171"/>
        <w:gridCol w:w="1021"/>
        <w:gridCol w:w="239"/>
      </w:tblGrid>
      <w:tr>
        <w:trPr/>
        <w:tc>
          <w:tcPr>
            <w:tcW w:w="38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r>
      <w:tr>
        <w:trPr/>
        <w:tc>
          <w:tcPr>
            <w:tcW w:w="38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936"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June 30,</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2781"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239" w:type="dxa"/>
            <w:tcBorders/>
            <w:vAlign w:val="center"/>
          </w:tcPr>
          <w:p>
            <w:pPr>
              <w:pStyle w:val="TableContents"/>
              <w:bidi w:val="0"/>
              <w:spacing w:before="0" w:after="283"/>
              <w:jc w:val="center"/>
              <w:rPr/>
            </w:pPr>
            <w:r>
              <w:rPr/>
              <w:t> </w:t>
            </w:r>
          </w:p>
        </w:tc>
      </w:tr>
      <w:tr>
        <w:trPr/>
        <w:tc>
          <w:tcPr>
            <w:tcW w:w="38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55"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9"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17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55"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1"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42"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1"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21"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9" w:type="dxa"/>
            <w:tcBorders/>
            <w:vAlign w:val="center"/>
          </w:tcPr>
          <w:p>
            <w:pPr>
              <w:pStyle w:val="TableContents"/>
              <w:bidi w:val="0"/>
              <w:spacing w:before="0" w:after="283"/>
              <w:jc w:val="center"/>
              <w:rPr/>
            </w:pPr>
            <w:r>
              <w:rPr/>
              <w:t> </w:t>
            </w:r>
          </w:p>
        </w:tc>
      </w:tr>
      <w:tr>
        <w:trPr/>
        <w:tc>
          <w:tcPr>
            <w:tcW w:w="3884" w:type="dxa"/>
            <w:tcBorders/>
            <w:shd w:fill="CCEEFF" w:val="clear"/>
            <w:vAlign w:val="center"/>
          </w:tcPr>
          <w:p>
            <w:pPr>
              <w:pStyle w:val="TableContents"/>
              <w:bidi w:val="0"/>
              <w:spacing w:before="0" w:after="0"/>
              <w:ind w:left="0" w:right="0" w:hanging="144"/>
              <w:jc w:val="left"/>
              <w:rPr/>
            </w:pPr>
            <w:r>
              <w:rPr/>
              <w:t xml:space="preserve">Revenue </w:t>
            </w:r>
          </w:p>
        </w:tc>
        <w:tc>
          <w:tcPr>
            <w:tcW w:w="9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w:t>
            </w:r>
          </w:p>
        </w:tc>
        <w:tc>
          <w:tcPr>
            <w:tcW w:w="1155" w:type="dxa"/>
            <w:tcBorders/>
            <w:shd w:fill="CCEEFF" w:val="clear"/>
            <w:vAlign w:val="center"/>
          </w:tcPr>
          <w:p>
            <w:pPr>
              <w:pStyle w:val="TableContents"/>
              <w:bidi w:val="0"/>
              <w:spacing w:before="0" w:after="283"/>
              <w:jc w:val="right"/>
              <w:rPr/>
            </w:pPr>
            <w:r>
              <w:rPr/>
              <w:t>304,224</w:t>
            </w:r>
          </w:p>
        </w:tc>
        <w:tc>
          <w:tcPr>
            <w:tcW w:w="189"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w:t>
            </w:r>
          </w:p>
        </w:tc>
        <w:tc>
          <w:tcPr>
            <w:tcW w:w="1155" w:type="dxa"/>
            <w:tcBorders/>
            <w:shd w:fill="CCEEFF" w:val="clear"/>
            <w:vAlign w:val="center"/>
          </w:tcPr>
          <w:p>
            <w:pPr>
              <w:pStyle w:val="TableContents"/>
              <w:bidi w:val="0"/>
              <w:spacing w:before="0" w:after="283"/>
              <w:jc w:val="right"/>
              <w:rPr/>
            </w:pPr>
            <w:r>
              <w:rPr/>
              <w:t>246,068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w:t>
            </w:r>
          </w:p>
        </w:tc>
        <w:tc>
          <w:tcPr>
            <w:tcW w:w="1142" w:type="dxa"/>
            <w:tcBorders/>
            <w:shd w:fill="CCEEFF" w:val="clear"/>
            <w:vAlign w:val="center"/>
          </w:tcPr>
          <w:p>
            <w:pPr>
              <w:pStyle w:val="TableContents"/>
              <w:bidi w:val="0"/>
              <w:spacing w:before="0" w:after="283"/>
              <w:jc w:val="right"/>
              <w:rPr/>
            </w:pPr>
            <w:r>
              <w:rPr/>
              <w:t>474,374</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375,083</w:t>
            </w:r>
          </w:p>
        </w:tc>
        <w:tc>
          <w:tcPr>
            <w:tcW w:w="239" w:type="dxa"/>
            <w:tcBorders/>
            <w:shd w:fill="CCEEFF" w:val="clear"/>
            <w:vAlign w:val="center"/>
          </w:tcPr>
          <w:p>
            <w:pPr>
              <w:pStyle w:val="TableContents"/>
              <w:bidi w:val="0"/>
              <w:spacing w:before="0" w:after="283"/>
              <w:jc w:val="left"/>
              <w:rPr/>
            </w:pPr>
            <w:r>
              <w:rPr/>
              <w:t> </w:t>
            </w:r>
          </w:p>
        </w:tc>
      </w:tr>
      <w:tr>
        <w:trPr/>
        <w:tc>
          <w:tcPr>
            <w:tcW w:w="3884" w:type="dxa"/>
            <w:tcBorders/>
            <w:vAlign w:val="center"/>
          </w:tcPr>
          <w:p>
            <w:pPr>
              <w:pStyle w:val="TableContents"/>
              <w:bidi w:val="0"/>
              <w:spacing w:before="0" w:after="0"/>
              <w:ind w:left="0" w:right="0" w:hanging="144"/>
              <w:jc w:val="left"/>
              <w:rPr/>
            </w:pPr>
            <w:r>
              <w:rPr/>
              <w:t xml:space="preserve">Cost of revenue </w:t>
            </w:r>
          </w:p>
        </w:tc>
        <w:tc>
          <w:tcPr>
            <w:tcW w:w="90" w:type="dxa"/>
            <w:tcBorders/>
            <w:vAlign w:val="center"/>
          </w:tcPr>
          <w:p>
            <w:pPr>
              <w:pStyle w:val="TableContents"/>
              <w:bidi w:val="0"/>
              <w:spacing w:before="0" w:after="283"/>
              <w:jc w:val="righ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tcMar>
              <w:bottom w:w="28" w:type="dxa"/>
            </w:tcMar>
            <w:vAlign w:val="center"/>
          </w:tcPr>
          <w:p>
            <w:pPr>
              <w:pStyle w:val="TableContents"/>
              <w:bidi w:val="0"/>
              <w:spacing w:before="0" w:after="283"/>
              <w:jc w:val="right"/>
              <w:rPr/>
            </w:pPr>
            <w:r>
              <w:rPr/>
              <w:t>175,173</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tcMar>
              <w:bottom w:w="28" w:type="dxa"/>
            </w:tcMar>
            <w:vAlign w:val="center"/>
          </w:tcPr>
          <w:p>
            <w:pPr>
              <w:pStyle w:val="TableContents"/>
              <w:bidi w:val="0"/>
              <w:spacing w:before="0" w:after="283"/>
              <w:jc w:val="right"/>
              <w:rPr/>
            </w:pPr>
            <w:r>
              <w:rPr/>
              <w:t>136,970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tcMar>
              <w:bottom w:w="28" w:type="dxa"/>
            </w:tcMar>
            <w:vAlign w:val="center"/>
          </w:tcPr>
          <w:p>
            <w:pPr>
              <w:pStyle w:val="TableContents"/>
              <w:bidi w:val="0"/>
              <w:spacing w:before="0" w:after="283"/>
              <w:jc w:val="right"/>
              <w:rPr/>
            </w:pPr>
            <w:r>
              <w:rPr/>
              <w:t>300,732</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tcMar>
              <w:bottom w:w="28" w:type="dxa"/>
            </w:tcMar>
            <w:vAlign w:val="center"/>
          </w:tcPr>
          <w:p>
            <w:pPr>
              <w:pStyle w:val="TableContents"/>
              <w:bidi w:val="0"/>
              <w:spacing w:before="0" w:after="283"/>
              <w:jc w:val="right"/>
              <w:rPr/>
            </w:pPr>
            <w:r>
              <w:rPr/>
              <w:t>237,100</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884" w:type="dxa"/>
            <w:tcBorders/>
            <w:shd w:fill="CCEEFF" w:val="clear"/>
            <w:vAlign w:val="center"/>
          </w:tcPr>
          <w:p>
            <w:pPr>
              <w:pStyle w:val="TableContents"/>
              <w:bidi w:val="0"/>
              <w:spacing w:before="0" w:after="0"/>
              <w:jc w:val="left"/>
              <w:rPr/>
            </w:pPr>
            <w:r>
              <w:rPr>
                <w:b/>
              </w:rPr>
              <w:t>Gross profit</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b/>
              </w:rPr>
            </w:pPr>
            <w:r>
              <w:rPr>
                <w:b/>
              </w:rPr>
              <w:t>$</w:t>
            </w:r>
          </w:p>
        </w:tc>
        <w:tc>
          <w:tcPr>
            <w:tcW w:w="1155" w:type="dxa"/>
            <w:tcBorders/>
            <w:shd w:fill="CCEEFF" w:val="clear"/>
            <w:vAlign w:val="center"/>
          </w:tcPr>
          <w:p>
            <w:pPr>
              <w:pStyle w:val="TableContents"/>
              <w:bidi w:val="0"/>
              <w:spacing w:before="0" w:after="283"/>
              <w:jc w:val="right"/>
              <w:rPr>
                <w:b/>
              </w:rPr>
            </w:pPr>
            <w:r>
              <w:rPr>
                <w:b/>
              </w:rPr>
              <w:t>129,051</w:t>
            </w:r>
          </w:p>
        </w:tc>
        <w:tc>
          <w:tcPr>
            <w:tcW w:w="189"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b/>
              </w:rPr>
            </w:pPr>
            <w:r>
              <w:rPr>
                <w:b/>
              </w:rPr>
              <w:t>$</w:t>
            </w:r>
          </w:p>
        </w:tc>
        <w:tc>
          <w:tcPr>
            <w:tcW w:w="1155" w:type="dxa"/>
            <w:tcBorders/>
            <w:shd w:fill="CCEEFF" w:val="clear"/>
            <w:vAlign w:val="center"/>
          </w:tcPr>
          <w:p>
            <w:pPr>
              <w:pStyle w:val="TableContents"/>
              <w:bidi w:val="0"/>
              <w:spacing w:before="0" w:after="283"/>
              <w:jc w:val="right"/>
              <w:rPr>
                <w:b/>
              </w:rPr>
            </w:pPr>
            <w:r>
              <w:rPr>
                <w:b/>
              </w:rPr>
              <w:t>109,098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b/>
              </w:rPr>
            </w:pPr>
            <w:r>
              <w:rPr>
                <w:b/>
              </w:rPr>
              <w:t>$</w:t>
            </w:r>
          </w:p>
        </w:tc>
        <w:tc>
          <w:tcPr>
            <w:tcW w:w="1142" w:type="dxa"/>
            <w:tcBorders/>
            <w:shd w:fill="CCEEFF" w:val="clear"/>
            <w:vAlign w:val="center"/>
          </w:tcPr>
          <w:p>
            <w:pPr>
              <w:pStyle w:val="TableContents"/>
              <w:bidi w:val="0"/>
              <w:spacing w:before="0" w:after="283"/>
              <w:jc w:val="right"/>
              <w:rPr>
                <w:b/>
              </w:rPr>
            </w:pPr>
            <w:r>
              <w:rPr>
                <w:b/>
              </w:rPr>
              <w:t>173,642</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b/>
              </w:rPr>
            </w:pPr>
            <w:r>
              <w:rPr>
                <w:b/>
              </w:rPr>
              <w:t>$</w:t>
            </w:r>
          </w:p>
        </w:tc>
        <w:tc>
          <w:tcPr>
            <w:tcW w:w="1021" w:type="dxa"/>
            <w:tcBorders/>
            <w:shd w:fill="CCEEFF" w:val="clear"/>
            <w:vAlign w:val="center"/>
          </w:tcPr>
          <w:p>
            <w:pPr>
              <w:pStyle w:val="TableContents"/>
              <w:bidi w:val="0"/>
              <w:spacing w:before="0" w:after="283"/>
              <w:jc w:val="right"/>
              <w:rPr>
                <w:b/>
              </w:rPr>
            </w:pPr>
            <w:r>
              <w:rPr>
                <w:b/>
              </w:rPr>
              <w:t>137,983</w:t>
            </w:r>
          </w:p>
        </w:tc>
        <w:tc>
          <w:tcPr>
            <w:tcW w:w="239" w:type="dxa"/>
            <w:tcBorders/>
            <w:shd w:fill="CCEEFF" w:val="clear"/>
            <w:vAlign w:val="center"/>
          </w:tcPr>
          <w:p>
            <w:pPr>
              <w:pStyle w:val="TableContents"/>
              <w:bidi w:val="0"/>
              <w:spacing w:before="0" w:after="283"/>
              <w:jc w:val="left"/>
              <w:rPr/>
            </w:pPr>
            <w:r>
              <w:rPr/>
              <w:t> </w:t>
            </w:r>
          </w:p>
        </w:tc>
      </w:tr>
      <w:tr>
        <w:trPr/>
        <w:tc>
          <w:tcPr>
            <w:tcW w:w="3884" w:type="dxa"/>
            <w:tcBorders/>
            <w:vAlign w:val="center"/>
          </w:tcPr>
          <w:p>
            <w:pPr>
              <w:pStyle w:val="TableContents"/>
              <w:bidi w:val="0"/>
              <w:spacing w:before="0" w:after="0"/>
              <w:ind w:left="0" w:right="0" w:hanging="144"/>
              <w:jc w:val="left"/>
              <w:rPr/>
            </w:pPr>
            <w:r>
              <w:rPr/>
              <w:t xml:space="preserve">Operating expenses: </w:t>
            </w:r>
          </w:p>
        </w:tc>
        <w:tc>
          <w:tcPr>
            <w:tcW w:w="9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right"/>
              <w:rPr/>
            </w:pPr>
            <w:r>
              <w:rPr/>
              <w:t> </w:t>
            </w:r>
          </w:p>
        </w:tc>
        <w:tc>
          <w:tcPr>
            <w:tcW w:w="1155"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right"/>
              <w:rPr/>
            </w:pPr>
            <w:r>
              <w:rPr/>
              <w:t> </w:t>
            </w:r>
          </w:p>
        </w:tc>
        <w:tc>
          <w:tcPr>
            <w:tcW w:w="115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right"/>
              <w:rPr/>
            </w:pPr>
            <w:r>
              <w:rPr/>
              <w:t> </w:t>
            </w:r>
          </w:p>
        </w:tc>
        <w:tc>
          <w:tcPr>
            <w:tcW w:w="1142"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right"/>
              <w:rPr/>
            </w:pPr>
            <w:r>
              <w:rPr/>
              <w:t> </w:t>
            </w:r>
          </w:p>
        </w:tc>
        <w:tc>
          <w:tcPr>
            <w:tcW w:w="1021"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right"/>
              <w:rPr/>
            </w:pPr>
            <w:r>
              <w:rPr/>
              <w:t> </w:t>
            </w:r>
          </w:p>
        </w:tc>
      </w:tr>
      <w:tr>
        <w:trPr/>
        <w:tc>
          <w:tcPr>
            <w:tcW w:w="3884" w:type="dxa"/>
            <w:tcBorders/>
            <w:shd w:fill="CCEEFF" w:val="clear"/>
            <w:vAlign w:val="center"/>
          </w:tcPr>
          <w:p>
            <w:pPr>
              <w:pStyle w:val="TableContents"/>
              <w:bidi w:val="0"/>
              <w:spacing w:before="0" w:after="0"/>
              <w:jc w:val="left"/>
              <w:rPr/>
            </w:pPr>
            <w:r>
              <w:rPr/>
              <w:t xml:space="preserve">Selling, general and administrative </w:t>
            </w:r>
          </w:p>
        </w:tc>
        <w:tc>
          <w:tcPr>
            <w:tcW w:w="9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67,260</w:t>
            </w:r>
          </w:p>
        </w:tc>
        <w:tc>
          <w:tcPr>
            <w:tcW w:w="189"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39,921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112,265</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75,835</w:t>
            </w:r>
          </w:p>
        </w:tc>
        <w:tc>
          <w:tcPr>
            <w:tcW w:w="239" w:type="dxa"/>
            <w:tcBorders/>
            <w:shd w:fill="CCEEFF" w:val="clear"/>
            <w:vAlign w:val="center"/>
          </w:tcPr>
          <w:p>
            <w:pPr>
              <w:pStyle w:val="TableContents"/>
              <w:bidi w:val="0"/>
              <w:spacing w:before="0" w:after="283"/>
              <w:jc w:val="left"/>
              <w:rPr/>
            </w:pPr>
            <w:r>
              <w:rPr/>
              <w:t> </w:t>
            </w:r>
          </w:p>
        </w:tc>
      </w:tr>
      <w:tr>
        <w:trPr/>
        <w:tc>
          <w:tcPr>
            <w:tcW w:w="3884" w:type="dxa"/>
            <w:tcBorders/>
            <w:vAlign w:val="center"/>
          </w:tcPr>
          <w:p>
            <w:pPr>
              <w:pStyle w:val="TableContents"/>
              <w:bidi w:val="0"/>
              <w:spacing w:before="0" w:after="0"/>
              <w:jc w:val="left"/>
              <w:rPr/>
            </w:pPr>
            <w:r>
              <w:rPr/>
              <w:t xml:space="preserve">Operations and support </w:t>
            </w:r>
          </w:p>
        </w:tc>
        <w:tc>
          <w:tcPr>
            <w:tcW w:w="9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17,738</w:t>
            </w:r>
          </w:p>
        </w:tc>
        <w:tc>
          <w:tcPr>
            <w:tcW w:w="18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13,604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31,129</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25,445</w:t>
            </w:r>
          </w:p>
        </w:tc>
        <w:tc>
          <w:tcPr>
            <w:tcW w:w="239" w:type="dxa"/>
            <w:tcBorders/>
            <w:vAlign w:val="center"/>
          </w:tcPr>
          <w:p>
            <w:pPr>
              <w:pStyle w:val="TableContents"/>
              <w:bidi w:val="0"/>
              <w:spacing w:before="0" w:after="283"/>
              <w:jc w:val="left"/>
              <w:rPr/>
            </w:pPr>
            <w:r>
              <w:rPr/>
              <w:t> </w:t>
            </w:r>
          </w:p>
        </w:tc>
      </w:tr>
      <w:tr>
        <w:trPr/>
        <w:tc>
          <w:tcPr>
            <w:tcW w:w="3884" w:type="dxa"/>
            <w:tcBorders/>
            <w:shd w:fill="CCEEFF" w:val="clear"/>
            <w:vAlign w:val="center"/>
          </w:tcPr>
          <w:p>
            <w:pPr>
              <w:pStyle w:val="TableContents"/>
              <w:bidi w:val="0"/>
              <w:spacing w:before="0" w:after="0"/>
              <w:jc w:val="left"/>
              <w:rPr/>
            </w:pPr>
            <w:r>
              <w:rPr/>
              <w:t xml:space="preserve">Research and development </w:t>
            </w:r>
          </w:p>
        </w:tc>
        <w:tc>
          <w:tcPr>
            <w:tcW w:w="90" w:type="dxa"/>
            <w:tcBorders/>
            <w:shd w:fill="CCEEFF" w:val="clear"/>
            <w:vAlign w:val="center"/>
          </w:tcPr>
          <w:p>
            <w:pPr>
              <w:pStyle w:val="TableContents"/>
              <w:bidi w:val="0"/>
              <w:spacing w:before="0" w:after="283"/>
              <w:jc w:val="righ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shd w:fill="CCEEFF" w:val="clear"/>
            <w:tcMar>
              <w:bottom w:w="28" w:type="dxa"/>
            </w:tcMar>
            <w:vAlign w:val="center"/>
          </w:tcPr>
          <w:p>
            <w:pPr>
              <w:pStyle w:val="TableContents"/>
              <w:bidi w:val="0"/>
              <w:spacing w:before="0" w:after="283"/>
              <w:jc w:val="right"/>
              <w:rPr/>
            </w:pPr>
            <w:r>
              <w:rPr/>
              <w:t>31,243</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shd w:fill="CCEEFF" w:val="clear"/>
            <w:tcMar>
              <w:bottom w:w="28" w:type="dxa"/>
            </w:tcMar>
            <w:vAlign w:val="center"/>
          </w:tcPr>
          <w:p>
            <w:pPr>
              <w:pStyle w:val="TableContents"/>
              <w:bidi w:val="0"/>
              <w:spacing w:before="0" w:after="283"/>
              <w:jc w:val="right"/>
              <w:rPr/>
            </w:pPr>
            <w:r>
              <w:rPr/>
              <w:t>14,031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pPr>
            <w:r>
              <w:rPr/>
              <w:t>46,470</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26,583</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884" w:type="dxa"/>
            <w:tcBorders/>
            <w:vAlign w:val="center"/>
          </w:tcPr>
          <w:p>
            <w:pPr>
              <w:pStyle w:val="TableContents"/>
              <w:bidi w:val="0"/>
              <w:spacing w:before="0" w:after="0"/>
              <w:jc w:val="left"/>
              <w:rPr/>
            </w:pPr>
            <w:r>
              <w:rPr>
                <w:b/>
              </w:rPr>
              <w:t>Total operating expenses</w:t>
            </w:r>
            <w:r>
              <w:rPr/>
              <w:t xml:space="preserve"> </w:t>
            </w:r>
          </w:p>
        </w:tc>
        <w:tc>
          <w:tcPr>
            <w:tcW w:w="90" w:type="dxa"/>
            <w:tcBorders/>
            <w:vAlign w:val="center"/>
          </w:tcPr>
          <w:p>
            <w:pPr>
              <w:pStyle w:val="TableContents"/>
              <w:bidi w:val="0"/>
              <w:spacing w:before="0" w:after="283"/>
              <w:jc w:val="righ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tcMar>
              <w:bottom w:w="28" w:type="dxa"/>
            </w:tcMar>
            <w:vAlign w:val="center"/>
          </w:tcPr>
          <w:p>
            <w:pPr>
              <w:pStyle w:val="TableContents"/>
              <w:bidi w:val="0"/>
              <w:spacing w:before="0" w:after="283"/>
              <w:jc w:val="right"/>
              <w:rPr>
                <w:b/>
              </w:rPr>
            </w:pPr>
            <w:r>
              <w:rPr>
                <w:b/>
              </w:rPr>
              <w:t>116,241</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tcMar>
              <w:bottom w:w="28" w:type="dxa"/>
            </w:tcMar>
            <w:vAlign w:val="center"/>
          </w:tcPr>
          <w:p>
            <w:pPr>
              <w:pStyle w:val="TableContents"/>
              <w:bidi w:val="0"/>
              <w:spacing w:before="0" w:after="283"/>
              <w:jc w:val="right"/>
              <w:rPr>
                <w:b/>
              </w:rPr>
            </w:pPr>
            <w:r>
              <w:rPr>
                <w:b/>
              </w:rPr>
              <w:t>67,556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tcMar>
              <w:bottom w:w="28" w:type="dxa"/>
            </w:tcMar>
            <w:vAlign w:val="center"/>
          </w:tcPr>
          <w:p>
            <w:pPr>
              <w:pStyle w:val="TableContents"/>
              <w:bidi w:val="0"/>
              <w:spacing w:before="0" w:after="283"/>
              <w:jc w:val="right"/>
              <w:rPr>
                <w:b/>
              </w:rPr>
            </w:pPr>
            <w:r>
              <w:rPr>
                <w:b/>
              </w:rPr>
              <w:t>189,864</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tcMar>
              <w:bottom w:w="28" w:type="dxa"/>
            </w:tcMar>
            <w:vAlign w:val="center"/>
          </w:tcPr>
          <w:p>
            <w:pPr>
              <w:pStyle w:val="TableContents"/>
              <w:bidi w:val="0"/>
              <w:spacing w:before="0" w:after="283"/>
              <w:jc w:val="right"/>
              <w:rPr>
                <w:b/>
              </w:rPr>
            </w:pPr>
            <w:r>
              <w:rPr>
                <w:b/>
              </w:rPr>
              <w:t>127,863</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884" w:type="dxa"/>
            <w:tcBorders/>
            <w:shd w:fill="CCEEFF" w:val="clear"/>
            <w:vAlign w:val="center"/>
          </w:tcPr>
          <w:p>
            <w:pPr>
              <w:pStyle w:val="TableContents"/>
              <w:bidi w:val="0"/>
              <w:spacing w:before="0" w:after="0"/>
              <w:ind w:left="0" w:right="0" w:hanging="144"/>
              <w:jc w:val="left"/>
              <w:rPr/>
            </w:pPr>
            <w:r>
              <w:rPr/>
              <w:t xml:space="preserve">Operating profit (loss) </w:t>
            </w:r>
          </w:p>
        </w:tc>
        <w:tc>
          <w:tcPr>
            <w:tcW w:w="9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12,810</w:t>
            </w:r>
          </w:p>
        </w:tc>
        <w:tc>
          <w:tcPr>
            <w:tcW w:w="189"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41,542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(16,222</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10,120</w:t>
            </w:r>
          </w:p>
        </w:tc>
        <w:tc>
          <w:tcPr>
            <w:tcW w:w="239" w:type="dxa"/>
            <w:tcBorders/>
            <w:shd w:fill="CCEEFF" w:val="clear"/>
            <w:vAlign w:val="center"/>
          </w:tcPr>
          <w:p>
            <w:pPr>
              <w:pStyle w:val="TableContents"/>
              <w:bidi w:val="0"/>
              <w:spacing w:before="0" w:after="283"/>
              <w:jc w:val="left"/>
              <w:rPr/>
            </w:pPr>
            <w:r>
              <w:rPr/>
              <w:t> </w:t>
            </w:r>
          </w:p>
        </w:tc>
      </w:tr>
      <w:tr>
        <w:trPr/>
        <w:tc>
          <w:tcPr>
            <w:tcW w:w="3884" w:type="dxa"/>
            <w:tcBorders/>
            <w:vAlign w:val="center"/>
          </w:tcPr>
          <w:p>
            <w:pPr>
              <w:pStyle w:val="TableContents"/>
              <w:bidi w:val="0"/>
              <w:spacing w:before="0" w:after="0"/>
              <w:ind w:left="0" w:right="0" w:hanging="144"/>
              <w:jc w:val="left"/>
              <w:rPr/>
            </w:pPr>
            <w:r>
              <w:rPr/>
              <w:t xml:space="preserve">Interest expense </w:t>
            </w:r>
          </w:p>
        </w:tc>
        <w:tc>
          <w:tcPr>
            <w:tcW w:w="9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(3,961</w:t>
            </w:r>
          </w:p>
        </w:tc>
        <w:tc>
          <w:tcPr>
            <w:tcW w:w="18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(5,155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(9,120</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(10,278</w:t>
            </w:r>
          </w:p>
        </w:tc>
        <w:tc>
          <w:tcPr>
            <w:tcW w:w="239" w:type="dxa"/>
            <w:tcBorders/>
            <w:vAlign w:val="center"/>
          </w:tcPr>
          <w:p>
            <w:pPr>
              <w:pStyle w:val="TableContents"/>
              <w:bidi w:val="0"/>
              <w:spacing w:before="0" w:after="283"/>
              <w:jc w:val="left"/>
              <w:rPr/>
            </w:pPr>
            <w:r>
              <w:rPr/>
              <w:t>) </w:t>
            </w:r>
          </w:p>
        </w:tc>
      </w:tr>
      <w:tr>
        <w:trPr/>
        <w:tc>
          <w:tcPr>
            <w:tcW w:w="3884" w:type="dxa"/>
            <w:tcBorders/>
            <w:shd w:fill="CCEEFF" w:val="clear"/>
            <w:vAlign w:val="center"/>
          </w:tcPr>
          <w:p>
            <w:pPr>
              <w:pStyle w:val="TableContents"/>
              <w:bidi w:val="0"/>
              <w:spacing w:before="0" w:after="0"/>
              <w:ind w:left="0" w:right="0" w:hanging="144"/>
              <w:jc w:val="left"/>
              <w:rPr/>
            </w:pPr>
            <w:r>
              <w:rPr/>
              <w:t xml:space="preserve">Other expense, net </w:t>
            </w:r>
          </w:p>
        </w:tc>
        <w:tc>
          <w:tcPr>
            <w:tcW w:w="90" w:type="dxa"/>
            <w:tcBorders/>
            <w:shd w:fill="CCEEFF" w:val="clear"/>
            <w:vAlign w:val="center"/>
          </w:tcPr>
          <w:p>
            <w:pPr>
              <w:pStyle w:val="TableContents"/>
              <w:bidi w:val="0"/>
              <w:spacing w:before="0" w:after="283"/>
              <w:jc w:val="righ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shd w:fill="CCEEFF" w:val="clear"/>
            <w:tcMar>
              <w:bottom w:w="28" w:type="dxa"/>
            </w:tcMar>
            <w:vAlign w:val="center"/>
          </w:tcPr>
          <w:p>
            <w:pPr>
              <w:pStyle w:val="TableContents"/>
              <w:bidi w:val="0"/>
              <w:spacing w:before="0" w:after="283"/>
              <w:jc w:val="right"/>
              <w:rPr/>
            </w:pPr>
            <w:r>
              <w:rPr/>
              <w:t>(11,903</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shd w:fill="CCEEFF" w:val="clear"/>
            <w:tcMar>
              <w:bottom w:w="28" w:type="dxa"/>
            </w:tcMar>
            <w:vAlign w:val="center"/>
          </w:tcPr>
          <w:p>
            <w:pPr>
              <w:pStyle w:val="TableContents"/>
              <w:bidi w:val="0"/>
              <w:spacing w:before="0" w:after="283"/>
              <w:jc w:val="right"/>
              <w:rPr/>
            </w:pPr>
            <w:r>
              <w:rPr/>
              <w:t>(12,530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pPr>
            <w:r>
              <w:rPr/>
              <w:t>(37,142</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(29,612</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884" w:type="dxa"/>
            <w:tcBorders/>
            <w:vAlign w:val="center"/>
          </w:tcPr>
          <w:p>
            <w:pPr>
              <w:pStyle w:val="TableContents"/>
              <w:bidi w:val="0"/>
              <w:spacing w:before="0" w:after="0"/>
              <w:jc w:val="left"/>
              <w:rPr/>
            </w:pPr>
            <w:r>
              <w:rPr>
                <w:b/>
              </w:rPr>
              <w:t>(Loss) income before income taxes</w:t>
            </w:r>
            <w:r>
              <w:rPr/>
              <w:t xml:space="preserve"> </w:t>
            </w:r>
          </w:p>
        </w:tc>
        <w:tc>
          <w:tcPr>
            <w:tcW w:w="90" w:type="dxa"/>
            <w:tcBorders/>
            <w:vAlign w:val="center"/>
          </w:tcPr>
          <w:p>
            <w:pPr>
              <w:pStyle w:val="TableContents"/>
              <w:bidi w:val="0"/>
              <w:spacing w:before="0" w:after="283"/>
              <w:jc w:val="righ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tcMar>
              <w:bottom w:w="28" w:type="dxa"/>
            </w:tcMar>
            <w:vAlign w:val="center"/>
          </w:tcPr>
          <w:p>
            <w:pPr>
              <w:pStyle w:val="TableContents"/>
              <w:bidi w:val="0"/>
              <w:spacing w:before="0" w:after="283"/>
              <w:jc w:val="right"/>
              <w:rPr>
                <w:b/>
              </w:rPr>
            </w:pPr>
            <w:r>
              <w:rPr>
                <w:b/>
              </w:rPr>
              <w:t>(3,054</w:t>
            </w:r>
          </w:p>
        </w:tc>
        <w:tc>
          <w:tcPr>
            <w:tcW w:w="189"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1" w:type="dxa"/>
            <w:tcBorders/>
            <w:vAlign w:val="center"/>
          </w:tcPr>
          <w:p>
            <w:pPr>
              <w:pStyle w:val="TableContents"/>
              <w:bidi w:val="0"/>
              <w:spacing w:before="0" w:after="283"/>
              <w:jc w:val="righ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tcMar>
              <w:bottom w:w="28" w:type="dxa"/>
            </w:tcMar>
            <w:vAlign w:val="center"/>
          </w:tcPr>
          <w:p>
            <w:pPr>
              <w:pStyle w:val="TableContents"/>
              <w:bidi w:val="0"/>
              <w:spacing w:before="0" w:after="283"/>
              <w:jc w:val="right"/>
              <w:rPr>
                <w:b/>
              </w:rPr>
            </w:pPr>
            <w:r>
              <w:rPr>
                <w:b/>
              </w:rPr>
              <w:t>23,857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tcMar>
              <w:bottom w:w="28" w:type="dxa"/>
            </w:tcMar>
            <w:vAlign w:val="center"/>
          </w:tcPr>
          <w:p>
            <w:pPr>
              <w:pStyle w:val="TableContents"/>
              <w:bidi w:val="0"/>
              <w:spacing w:before="0" w:after="283"/>
              <w:jc w:val="right"/>
              <w:rPr>
                <w:b/>
              </w:rPr>
            </w:pPr>
            <w:r>
              <w:rPr>
                <w:b/>
              </w:rPr>
              <w:t>(62,484</w:t>
            </w:r>
          </w:p>
        </w:tc>
        <w:tc>
          <w:tcPr>
            <w:tcW w:w="186"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tcMar>
              <w:bottom w:w="28" w:type="dxa"/>
            </w:tcMar>
            <w:vAlign w:val="center"/>
          </w:tcPr>
          <w:p>
            <w:pPr>
              <w:pStyle w:val="TableContents"/>
              <w:bidi w:val="0"/>
              <w:spacing w:before="0" w:after="283"/>
              <w:jc w:val="right"/>
              <w:rPr>
                <w:b/>
              </w:rPr>
            </w:pPr>
            <w:r>
              <w:rPr>
                <w:b/>
              </w:rPr>
              <w:t>(29,770</w:t>
            </w:r>
          </w:p>
        </w:tc>
        <w:tc>
          <w:tcPr>
            <w:tcW w:w="239" w:type="dxa"/>
            <w:tcBorders>
              <w:bottom w:val="single" w:sz="12" w:space="0" w:color="000000"/>
            </w:tcBorders>
            <w:tcMar>
              <w:bottom w:w="28" w:type="dxa"/>
            </w:tcMar>
            <w:vAlign w:val="center"/>
          </w:tcPr>
          <w:p>
            <w:pPr>
              <w:pStyle w:val="TableContents"/>
              <w:bidi w:val="0"/>
              <w:spacing w:before="0" w:after="283"/>
              <w:jc w:val="left"/>
              <w:rPr>
                <w:b/>
              </w:rPr>
            </w:pPr>
            <w:r>
              <w:rPr>
                <w:b/>
              </w:rPr>
              <w:t>) </w:t>
            </w:r>
          </w:p>
        </w:tc>
      </w:tr>
      <w:tr>
        <w:trPr/>
        <w:tc>
          <w:tcPr>
            <w:tcW w:w="3884" w:type="dxa"/>
            <w:tcBorders/>
            <w:shd w:fill="CCEEFF" w:val="clear"/>
            <w:vAlign w:val="center"/>
          </w:tcPr>
          <w:p>
            <w:pPr>
              <w:pStyle w:val="TableContents"/>
              <w:bidi w:val="0"/>
              <w:spacing w:before="0" w:after="0"/>
              <w:ind w:left="0" w:right="0" w:hanging="144"/>
              <w:jc w:val="left"/>
              <w:rPr/>
            </w:pPr>
            <w:r>
              <w:rPr/>
              <w:t xml:space="preserve">(Benefit from) provision for income taxes </w:t>
            </w:r>
          </w:p>
        </w:tc>
        <w:tc>
          <w:tcPr>
            <w:tcW w:w="90" w:type="dxa"/>
            <w:tcBorders/>
            <w:shd w:fill="CCEEFF" w:val="clear"/>
            <w:vAlign w:val="center"/>
          </w:tcPr>
          <w:p>
            <w:pPr>
              <w:pStyle w:val="TableContents"/>
              <w:bidi w:val="0"/>
              <w:spacing w:before="0" w:after="283"/>
              <w:jc w:val="righ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shd w:fill="CCEEFF" w:val="clear"/>
            <w:tcMar>
              <w:bottom w:w="28" w:type="dxa"/>
            </w:tcMar>
            <w:vAlign w:val="center"/>
          </w:tcPr>
          <w:p>
            <w:pPr>
              <w:pStyle w:val="TableContents"/>
              <w:bidi w:val="0"/>
              <w:spacing w:before="0" w:after="283"/>
              <w:jc w:val="right"/>
              <w:rPr/>
            </w:pPr>
            <w:r>
              <w:rPr/>
              <w:t>(298,433</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shd w:fill="CCEEFF" w:val="clear"/>
            <w:tcMar>
              <w:bottom w:w="28" w:type="dxa"/>
            </w:tcMar>
            <w:vAlign w:val="center"/>
          </w:tcPr>
          <w:p>
            <w:pPr>
              <w:pStyle w:val="TableContents"/>
              <w:bidi w:val="0"/>
              <w:spacing w:before="0" w:after="283"/>
              <w:jc w:val="right"/>
              <w:rPr/>
            </w:pPr>
            <w:r>
              <w:rPr/>
              <w:t>3,352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pPr>
            <w:r>
              <w:rPr/>
              <w:t>(296,577</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5,689</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884" w:type="dxa"/>
            <w:tcBorders/>
            <w:vAlign w:val="center"/>
          </w:tcPr>
          <w:p>
            <w:pPr>
              <w:pStyle w:val="TableContents"/>
              <w:bidi w:val="0"/>
              <w:spacing w:before="0" w:after="0"/>
              <w:jc w:val="left"/>
              <w:rPr/>
            </w:pPr>
            <w:r>
              <w:rPr>
                <w:b/>
              </w:rPr>
              <w:t>Net income (loss)</w:t>
            </w:r>
            <w:r>
              <w:rPr/>
              <w:t xml:space="preserve"> </w:t>
            </w:r>
          </w:p>
        </w:tc>
        <w:tc>
          <w:tcPr>
            <w:tcW w:w="90" w:type="dxa"/>
            <w:tcBorders/>
            <w:vAlign w:val="center"/>
          </w:tcPr>
          <w:p>
            <w:pPr>
              <w:pStyle w:val="TableContents"/>
              <w:bidi w:val="0"/>
              <w:spacing w:before="0" w:after="283"/>
              <w:jc w:val="righ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55" w:type="dxa"/>
            <w:tcBorders>
              <w:bottom w:val="double" w:sz="8" w:space="0" w:color="000000"/>
            </w:tcBorders>
            <w:tcMar>
              <w:bottom w:w="28" w:type="dxa"/>
            </w:tcMar>
            <w:vAlign w:val="center"/>
          </w:tcPr>
          <w:p>
            <w:pPr>
              <w:pStyle w:val="TableContents"/>
              <w:bidi w:val="0"/>
              <w:spacing w:before="0" w:after="283"/>
              <w:jc w:val="right"/>
              <w:rPr>
                <w:b/>
              </w:rPr>
            </w:pPr>
            <w:r>
              <w:rPr>
                <w:b/>
              </w:rPr>
              <w:t>295,379</w:t>
            </w:r>
          </w:p>
        </w:tc>
        <w:tc>
          <w:tcPr>
            <w:tcW w:w="189" w:type="dxa"/>
            <w:tcBorders>
              <w:bottom w:val="double" w:sz="8"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55" w:type="dxa"/>
            <w:tcBorders>
              <w:bottom w:val="double" w:sz="8" w:space="0" w:color="000000"/>
            </w:tcBorders>
            <w:tcMar>
              <w:bottom w:w="28" w:type="dxa"/>
            </w:tcMar>
            <w:vAlign w:val="center"/>
          </w:tcPr>
          <w:p>
            <w:pPr>
              <w:pStyle w:val="TableContents"/>
              <w:bidi w:val="0"/>
              <w:spacing w:before="0" w:after="283"/>
              <w:jc w:val="right"/>
              <w:rPr>
                <w:b/>
              </w:rPr>
            </w:pPr>
            <w:r>
              <w:rPr>
                <w:b/>
              </w:rPr>
              <w:t>20,505</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42" w:type="dxa"/>
            <w:tcBorders>
              <w:bottom w:val="double" w:sz="8" w:space="0" w:color="000000"/>
            </w:tcBorders>
            <w:tcMar>
              <w:bottom w:w="28" w:type="dxa"/>
            </w:tcMar>
            <w:vAlign w:val="center"/>
          </w:tcPr>
          <w:p>
            <w:pPr>
              <w:pStyle w:val="TableContents"/>
              <w:bidi w:val="0"/>
              <w:spacing w:before="0" w:after="283"/>
              <w:jc w:val="right"/>
              <w:rPr>
                <w:b/>
              </w:rPr>
            </w:pPr>
            <w:r>
              <w:rPr>
                <w:b/>
              </w:rPr>
              <w:t>234,093</w:t>
            </w:r>
          </w:p>
        </w:tc>
        <w:tc>
          <w:tcPr>
            <w:tcW w:w="186"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21" w:type="dxa"/>
            <w:tcBorders>
              <w:bottom w:val="double" w:sz="8" w:space="0" w:color="000000"/>
            </w:tcBorders>
            <w:tcMar>
              <w:bottom w:w="28" w:type="dxa"/>
            </w:tcMar>
            <w:vAlign w:val="center"/>
          </w:tcPr>
          <w:p>
            <w:pPr>
              <w:pStyle w:val="TableContents"/>
              <w:bidi w:val="0"/>
              <w:spacing w:before="0" w:after="283"/>
              <w:jc w:val="right"/>
              <w:rPr>
                <w:b/>
              </w:rPr>
            </w:pPr>
            <w:r>
              <w:rPr>
                <w:b/>
              </w:rPr>
              <w:t>(35,459</w:t>
            </w:r>
          </w:p>
        </w:tc>
        <w:tc>
          <w:tcPr>
            <w:tcW w:w="239" w:type="dxa"/>
            <w:tcBorders>
              <w:bottom w:val="double" w:sz="8" w:space="0" w:color="000000"/>
            </w:tcBorders>
            <w:tcMar>
              <w:bottom w:w="28" w:type="dxa"/>
            </w:tcMar>
            <w:vAlign w:val="center"/>
          </w:tcPr>
          <w:p>
            <w:pPr>
              <w:pStyle w:val="TableContents"/>
              <w:bidi w:val="0"/>
              <w:spacing w:before="0" w:after="283"/>
              <w:jc w:val="left"/>
              <w:rPr>
                <w:b/>
              </w:rPr>
            </w:pPr>
            <w:r>
              <w:rPr>
                <w:b/>
              </w:rPr>
              <w:t>) </w:t>
            </w:r>
          </w:p>
        </w:tc>
      </w:tr>
      <w:tr>
        <w:trPr/>
        <w:tc>
          <w:tcPr>
            <w:tcW w:w="3884" w:type="dxa"/>
            <w:tcBorders/>
            <w:shd w:fill="CCEEFF" w:val="clear"/>
            <w:vAlign w:val="center"/>
          </w:tcPr>
          <w:p>
            <w:pPr>
              <w:pStyle w:val="TableContents"/>
              <w:bidi w:val="0"/>
              <w:spacing w:before="0" w:after="0"/>
              <w:ind w:left="0" w:right="0" w:hanging="144"/>
              <w:jc w:val="left"/>
              <w:rPr/>
            </w:pPr>
            <w:r>
              <w:rPr/>
              <w:t xml:space="preserve">Net income (loss) per share attributable to common stockholders </w:t>
            </w:r>
          </w:p>
        </w:tc>
        <w:tc>
          <w:tcPr>
            <w:tcW w:w="9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right"/>
              <w:rPr/>
            </w:pPr>
            <w:r>
              <w:rPr/>
              <w:t> </w:t>
            </w:r>
          </w:p>
        </w:tc>
        <w:tc>
          <w:tcPr>
            <w:tcW w:w="1155"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right"/>
              <w:rPr/>
            </w:pPr>
            <w:r>
              <w:rPr/>
              <w:t> </w:t>
            </w:r>
          </w:p>
        </w:tc>
        <w:tc>
          <w:tcPr>
            <w:tcW w:w="115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right"/>
              <w:rPr/>
            </w:pPr>
            <w:r>
              <w:rPr/>
              <w:t> </w:t>
            </w:r>
          </w:p>
        </w:tc>
        <w:tc>
          <w:tcPr>
            <w:tcW w:w="1142"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right"/>
              <w:rPr/>
            </w:pPr>
            <w:r>
              <w:rPr/>
              <w:t> </w:t>
            </w:r>
          </w:p>
        </w:tc>
        <w:tc>
          <w:tcPr>
            <w:tcW w:w="1021" w:type="dxa"/>
            <w:tcBorders/>
            <w:shd w:fill="CCEEFF" w:val="clear"/>
            <w:vAlign w:val="center"/>
          </w:tcPr>
          <w:p>
            <w:pPr>
              <w:pStyle w:val="TableContents"/>
              <w:bidi w:val="0"/>
              <w:spacing w:before="0" w:after="283"/>
              <w:jc w:val="right"/>
              <w:rPr/>
            </w:pPr>
            <w:r>
              <w:rPr/>
              <w:t> </w:t>
            </w:r>
          </w:p>
        </w:tc>
        <w:tc>
          <w:tcPr>
            <w:tcW w:w="239" w:type="dxa"/>
            <w:tcBorders/>
            <w:shd w:fill="CCEEFF" w:val="clear"/>
            <w:vAlign w:val="center"/>
          </w:tcPr>
          <w:p>
            <w:pPr>
              <w:pStyle w:val="TableContents"/>
              <w:bidi w:val="0"/>
              <w:spacing w:before="0" w:after="283"/>
              <w:jc w:val="right"/>
              <w:rPr/>
            </w:pPr>
            <w:r>
              <w:rPr/>
              <w:t> </w:t>
            </w:r>
          </w:p>
        </w:tc>
      </w:tr>
      <w:tr>
        <w:trPr/>
        <w:tc>
          <w:tcPr>
            <w:tcW w:w="3884" w:type="dxa"/>
            <w:tcBorders/>
            <w:vAlign w:val="center"/>
          </w:tcPr>
          <w:p>
            <w:pPr>
              <w:pStyle w:val="TableContents"/>
              <w:bidi w:val="0"/>
              <w:spacing w:before="0" w:after="0"/>
              <w:jc w:val="left"/>
              <w:rPr/>
            </w:pPr>
            <w:r>
              <w:rPr/>
              <w:t xml:space="preserve">Basic </w:t>
            </w:r>
          </w:p>
        </w:tc>
        <w:tc>
          <w:tcPr>
            <w:tcW w:w="90" w:type="dxa"/>
            <w:tcBorders/>
            <w:vAlign w:val="center"/>
          </w:tcPr>
          <w:p>
            <w:pPr>
              <w:pStyle w:val="TableContents"/>
              <w:bidi w:val="0"/>
              <w:spacing w:before="0" w:after="283"/>
              <w:jc w:val="righ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pPr>
            <w:r>
              <w:rPr/>
              <w:t>$</w:t>
            </w:r>
          </w:p>
        </w:tc>
        <w:tc>
          <w:tcPr>
            <w:tcW w:w="1155" w:type="dxa"/>
            <w:tcBorders>
              <w:bottom w:val="double" w:sz="8" w:space="0" w:color="000000"/>
            </w:tcBorders>
            <w:tcMar>
              <w:bottom w:w="28" w:type="dxa"/>
            </w:tcMar>
            <w:vAlign w:val="center"/>
          </w:tcPr>
          <w:p>
            <w:pPr>
              <w:pStyle w:val="TableContents"/>
              <w:bidi w:val="0"/>
              <w:spacing w:before="0" w:after="283"/>
              <w:jc w:val="right"/>
              <w:rPr/>
            </w:pPr>
            <w:r>
              <w:rPr/>
              <w:t>26.70</w:t>
            </w:r>
          </w:p>
        </w:tc>
        <w:tc>
          <w:tcPr>
            <w:tcW w:w="189" w:type="dxa"/>
            <w:tcBorders>
              <w:bottom w:val="double" w:sz="8"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pPr>
            <w:r>
              <w:rPr/>
              <w:t>$</w:t>
            </w:r>
          </w:p>
        </w:tc>
        <w:tc>
          <w:tcPr>
            <w:tcW w:w="1155" w:type="dxa"/>
            <w:tcBorders>
              <w:bottom w:val="double" w:sz="8" w:space="0" w:color="000000"/>
            </w:tcBorders>
            <w:tcMar>
              <w:bottom w:w="28" w:type="dxa"/>
            </w:tcMar>
            <w:vAlign w:val="center"/>
          </w:tcPr>
          <w:p>
            <w:pPr>
              <w:pStyle w:val="TableContents"/>
              <w:bidi w:val="0"/>
              <w:spacing w:before="0" w:after="283"/>
              <w:jc w:val="right"/>
              <w:rPr/>
            </w:pPr>
            <w:r>
              <w:rPr/>
              <w:t>2.15</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bottom w:val="double" w:sz="8" w:space="0" w:color="000000"/>
            </w:tcBorders>
            <w:tcMar>
              <w:bottom w:w="28" w:type="dxa"/>
            </w:tcMar>
            <w:vAlign w:val="center"/>
          </w:tcPr>
          <w:p>
            <w:pPr>
              <w:pStyle w:val="TableContents"/>
              <w:bidi w:val="0"/>
              <w:spacing w:before="0" w:after="283"/>
              <w:jc w:val="left"/>
              <w:rPr/>
            </w:pPr>
            <w:r>
              <w:rPr/>
              <w:t>$</w:t>
            </w:r>
          </w:p>
        </w:tc>
        <w:tc>
          <w:tcPr>
            <w:tcW w:w="1142" w:type="dxa"/>
            <w:tcBorders>
              <w:bottom w:val="double" w:sz="8" w:space="0" w:color="000000"/>
            </w:tcBorders>
            <w:tcMar>
              <w:bottom w:w="28" w:type="dxa"/>
            </w:tcMar>
            <w:vAlign w:val="center"/>
          </w:tcPr>
          <w:p>
            <w:pPr>
              <w:pStyle w:val="TableContents"/>
              <w:bidi w:val="0"/>
              <w:spacing w:before="0" w:after="283"/>
              <w:jc w:val="right"/>
              <w:rPr/>
            </w:pPr>
            <w:r>
              <w:rPr/>
              <w:t>22.08</w:t>
            </w:r>
          </w:p>
        </w:tc>
        <w:tc>
          <w:tcPr>
            <w:tcW w:w="186"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bottom w:val="double" w:sz="8" w:space="0" w:color="000000"/>
            </w:tcBorders>
            <w:tcMar>
              <w:bottom w:w="28" w:type="dxa"/>
            </w:tcMar>
            <w:vAlign w:val="center"/>
          </w:tcPr>
          <w:p>
            <w:pPr>
              <w:pStyle w:val="TableContents"/>
              <w:bidi w:val="0"/>
              <w:spacing w:before="0" w:after="283"/>
              <w:jc w:val="left"/>
              <w:rPr/>
            </w:pPr>
            <w:r>
              <w:rPr/>
              <w:t>$</w:t>
            </w:r>
          </w:p>
        </w:tc>
        <w:tc>
          <w:tcPr>
            <w:tcW w:w="1021" w:type="dxa"/>
            <w:tcBorders>
              <w:bottom w:val="double" w:sz="8" w:space="0" w:color="000000"/>
            </w:tcBorders>
            <w:tcMar>
              <w:bottom w:w="28" w:type="dxa"/>
            </w:tcMar>
            <w:vAlign w:val="center"/>
          </w:tcPr>
          <w:p>
            <w:pPr>
              <w:pStyle w:val="TableContents"/>
              <w:bidi w:val="0"/>
              <w:spacing w:before="0" w:after="283"/>
              <w:jc w:val="right"/>
              <w:rPr/>
            </w:pPr>
            <w:r>
              <w:rPr/>
              <w:t>(3.74</w:t>
            </w:r>
          </w:p>
        </w:tc>
        <w:tc>
          <w:tcPr>
            <w:tcW w:w="239"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3884" w:type="dxa"/>
            <w:tcBorders/>
            <w:shd w:fill="CCEEFF" w:val="clear"/>
            <w:vAlign w:val="center"/>
          </w:tcPr>
          <w:p>
            <w:pPr>
              <w:pStyle w:val="TableContents"/>
              <w:bidi w:val="0"/>
              <w:spacing w:before="0" w:after="0"/>
              <w:jc w:val="left"/>
              <w:rPr/>
            </w:pPr>
            <w:r>
              <w:rPr/>
              <w:t xml:space="preserve">Diluted </w:t>
            </w:r>
          </w:p>
        </w:tc>
        <w:tc>
          <w:tcPr>
            <w:tcW w:w="90" w:type="dxa"/>
            <w:tcBorders/>
            <w:shd w:fill="CCEEFF" w:val="clear"/>
            <w:vAlign w:val="center"/>
          </w:tcPr>
          <w:p>
            <w:pPr>
              <w:pStyle w:val="TableContents"/>
              <w:bidi w:val="0"/>
              <w:spacing w:before="0" w:after="283"/>
              <w:jc w:val="right"/>
              <w:rPr/>
            </w:pPr>
            <w:r>
              <w:rPr/>
              <w:t> </w:t>
            </w:r>
          </w:p>
        </w:tc>
        <w:tc>
          <w:tcPr>
            <w:tcW w:w="173"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55" w:type="dxa"/>
            <w:tcBorders>
              <w:bottom w:val="double" w:sz="8" w:space="0" w:color="000000"/>
            </w:tcBorders>
            <w:shd w:fill="CCEEFF" w:val="clear"/>
            <w:tcMar>
              <w:bottom w:w="28" w:type="dxa"/>
            </w:tcMar>
            <w:vAlign w:val="center"/>
          </w:tcPr>
          <w:p>
            <w:pPr>
              <w:pStyle w:val="TableContents"/>
              <w:bidi w:val="0"/>
              <w:spacing w:before="0" w:after="283"/>
              <w:jc w:val="right"/>
              <w:rPr/>
            </w:pPr>
            <w:r>
              <w:rPr/>
              <w:t>4.73</w:t>
            </w:r>
          </w:p>
        </w:tc>
        <w:tc>
          <w:tcPr>
            <w:tcW w:w="189"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55" w:type="dxa"/>
            <w:tcBorders>
              <w:bottom w:val="double" w:sz="8" w:space="0" w:color="000000"/>
            </w:tcBorders>
            <w:shd w:fill="CCEEFF" w:val="clear"/>
            <w:tcMar>
              <w:bottom w:w="28" w:type="dxa"/>
            </w:tcMar>
            <w:vAlign w:val="center"/>
          </w:tcPr>
          <w:p>
            <w:pPr>
              <w:pStyle w:val="TableContents"/>
              <w:bidi w:val="0"/>
              <w:spacing w:before="0" w:after="283"/>
              <w:jc w:val="right"/>
              <w:rPr/>
            </w:pPr>
            <w:r>
              <w:rPr/>
              <w:t>0.71</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42" w:type="dxa"/>
            <w:tcBorders>
              <w:bottom w:val="double" w:sz="8" w:space="0" w:color="000000"/>
            </w:tcBorders>
            <w:shd w:fill="CCEEFF" w:val="clear"/>
            <w:tcMar>
              <w:bottom w:w="28" w:type="dxa"/>
            </w:tcMar>
            <w:vAlign w:val="center"/>
          </w:tcPr>
          <w:p>
            <w:pPr>
              <w:pStyle w:val="TableContents"/>
              <w:bidi w:val="0"/>
              <w:spacing w:before="0" w:after="283"/>
              <w:jc w:val="right"/>
              <w:rPr/>
            </w:pPr>
            <w:r>
              <w:rPr/>
              <w:t>5.47</w:t>
            </w:r>
          </w:p>
        </w:tc>
        <w:tc>
          <w:tcPr>
            <w:tcW w:w="18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double" w:sz="8" w:space="0" w:color="000000"/>
            </w:tcBorders>
            <w:shd w:fill="CCEEFF" w:val="clear"/>
            <w:tcMar>
              <w:bottom w:w="28" w:type="dxa"/>
            </w:tcMar>
            <w:vAlign w:val="center"/>
          </w:tcPr>
          <w:p>
            <w:pPr>
              <w:pStyle w:val="TableContents"/>
              <w:bidi w:val="0"/>
              <w:spacing w:before="0" w:after="283"/>
              <w:jc w:val="right"/>
              <w:rPr/>
            </w:pPr>
            <w:r>
              <w:rPr/>
              <w:t>(3.74</w:t>
            </w:r>
          </w:p>
        </w:tc>
        <w:tc>
          <w:tcPr>
            <w:tcW w:w="239"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884" w:type="dxa"/>
            <w:tcBorders/>
            <w:vAlign w:val="center"/>
          </w:tcPr>
          <w:p>
            <w:pPr>
              <w:pStyle w:val="TableContents"/>
              <w:bidi w:val="0"/>
              <w:spacing w:before="0" w:after="0"/>
              <w:ind w:left="0" w:right="0" w:hanging="144"/>
              <w:jc w:val="left"/>
              <w:rPr/>
            </w:pPr>
            <w:r>
              <w:rPr/>
              <w:t xml:space="preserve">Weighted-average number of shares outstanding used to compute net loss per share attributable to common stockholders, basic and diluted </w:t>
            </w:r>
          </w:p>
        </w:tc>
        <w:tc>
          <w:tcPr>
            <w:tcW w:w="9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right"/>
              <w:rPr/>
            </w:pPr>
            <w:r>
              <w:rPr/>
              <w:t> </w:t>
            </w:r>
          </w:p>
        </w:tc>
        <w:tc>
          <w:tcPr>
            <w:tcW w:w="1155"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right"/>
              <w:rPr/>
            </w:pPr>
            <w:r>
              <w:rPr/>
              <w:t> </w:t>
            </w:r>
          </w:p>
        </w:tc>
        <w:tc>
          <w:tcPr>
            <w:tcW w:w="115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right"/>
              <w:rPr/>
            </w:pPr>
            <w:r>
              <w:rPr/>
              <w:t> </w:t>
            </w:r>
          </w:p>
        </w:tc>
        <w:tc>
          <w:tcPr>
            <w:tcW w:w="1142"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right"/>
              <w:rPr/>
            </w:pPr>
            <w:r>
              <w:rPr/>
              <w:t> </w:t>
            </w:r>
          </w:p>
        </w:tc>
        <w:tc>
          <w:tcPr>
            <w:tcW w:w="1021"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right"/>
              <w:rPr/>
            </w:pPr>
            <w:r>
              <w:rPr/>
              <w:t> </w:t>
            </w:r>
          </w:p>
        </w:tc>
      </w:tr>
      <w:tr>
        <w:trPr/>
        <w:tc>
          <w:tcPr>
            <w:tcW w:w="3884" w:type="dxa"/>
            <w:tcBorders/>
            <w:shd w:fill="CCEEFF" w:val="clear"/>
            <w:vAlign w:val="center"/>
          </w:tcPr>
          <w:p>
            <w:pPr>
              <w:pStyle w:val="TableContents"/>
              <w:bidi w:val="0"/>
              <w:spacing w:before="0" w:after="0"/>
              <w:jc w:val="left"/>
              <w:rPr/>
            </w:pPr>
            <w:r>
              <w:rPr/>
              <w:t xml:space="preserve">Basic </w:t>
            </w:r>
          </w:p>
        </w:tc>
        <w:tc>
          <w:tcPr>
            <w:tcW w:w="90" w:type="dxa"/>
            <w:tcBorders/>
            <w:shd w:fill="CCEEFF" w:val="clear"/>
            <w:vAlign w:val="center"/>
          </w:tcPr>
          <w:p>
            <w:pPr>
              <w:pStyle w:val="TableContents"/>
              <w:bidi w:val="0"/>
              <w:spacing w:before="0" w:after="283"/>
              <w:jc w:val="right"/>
              <w:rPr/>
            </w:pPr>
            <w:r>
              <w:rPr/>
              <w:t> </w:t>
            </w:r>
          </w:p>
        </w:tc>
        <w:tc>
          <w:tcPr>
            <w:tcW w:w="17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double" w:sz="8" w:space="0" w:color="000000"/>
            </w:tcBorders>
            <w:shd w:fill="CCEEFF" w:val="clear"/>
            <w:tcMar>
              <w:bottom w:w="28" w:type="dxa"/>
            </w:tcMar>
            <w:vAlign w:val="center"/>
          </w:tcPr>
          <w:p>
            <w:pPr>
              <w:pStyle w:val="TableContents"/>
              <w:bidi w:val="0"/>
              <w:spacing w:before="0" w:after="283"/>
              <w:jc w:val="right"/>
              <w:rPr/>
            </w:pPr>
            <w:r>
              <w:rPr/>
              <w:t>11,062,716</w:t>
            </w:r>
          </w:p>
        </w:tc>
        <w:tc>
          <w:tcPr>
            <w:tcW w:w="189"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double" w:sz="8" w:space="0" w:color="000000"/>
            </w:tcBorders>
            <w:shd w:fill="CCEEFF" w:val="clear"/>
            <w:tcMar>
              <w:bottom w:w="28" w:type="dxa"/>
            </w:tcMar>
            <w:vAlign w:val="center"/>
          </w:tcPr>
          <w:p>
            <w:pPr>
              <w:pStyle w:val="TableContents"/>
              <w:bidi w:val="0"/>
              <w:spacing w:before="0" w:after="283"/>
              <w:jc w:val="right"/>
              <w:rPr/>
            </w:pPr>
            <w:r>
              <w:rPr/>
              <w:t>9,557,137</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double" w:sz="8" w:space="0" w:color="000000"/>
            </w:tcBorders>
            <w:shd w:fill="CCEEFF" w:val="clear"/>
            <w:tcMar>
              <w:bottom w:w="28" w:type="dxa"/>
            </w:tcMar>
            <w:vAlign w:val="center"/>
          </w:tcPr>
          <w:p>
            <w:pPr>
              <w:pStyle w:val="TableContents"/>
              <w:bidi w:val="0"/>
              <w:spacing w:before="0" w:after="283"/>
              <w:jc w:val="right"/>
              <w:rPr/>
            </w:pPr>
            <w:r>
              <w:rPr/>
              <w:t>10,599,919</w:t>
            </w:r>
          </w:p>
        </w:tc>
        <w:tc>
          <w:tcPr>
            <w:tcW w:w="18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double" w:sz="8" w:space="0" w:color="000000"/>
            </w:tcBorders>
            <w:shd w:fill="CCEEFF" w:val="clear"/>
            <w:tcMar>
              <w:bottom w:w="28" w:type="dxa"/>
            </w:tcMar>
            <w:vAlign w:val="center"/>
          </w:tcPr>
          <w:p>
            <w:pPr>
              <w:pStyle w:val="TableContents"/>
              <w:bidi w:val="0"/>
              <w:spacing w:before="0" w:after="283"/>
              <w:jc w:val="right"/>
              <w:rPr/>
            </w:pPr>
            <w:r>
              <w:rPr/>
              <w:t>9,486,896</w:t>
            </w:r>
          </w:p>
        </w:tc>
        <w:tc>
          <w:tcPr>
            <w:tcW w:w="239"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884" w:type="dxa"/>
            <w:tcBorders/>
            <w:vAlign w:val="center"/>
          </w:tcPr>
          <w:p>
            <w:pPr>
              <w:pStyle w:val="TableContents"/>
              <w:bidi w:val="0"/>
              <w:spacing w:before="0" w:after="0"/>
              <w:jc w:val="left"/>
              <w:rPr/>
            </w:pPr>
            <w:r>
              <w:rPr/>
              <w:t xml:space="preserve">Diluted </w:t>
            </w:r>
          </w:p>
        </w:tc>
        <w:tc>
          <w:tcPr>
            <w:tcW w:w="90" w:type="dxa"/>
            <w:tcBorders/>
            <w:vAlign w:val="center"/>
          </w:tcPr>
          <w:p>
            <w:pPr>
              <w:pStyle w:val="TableContents"/>
              <w:bidi w:val="0"/>
              <w:spacing w:before="0" w:after="283"/>
              <w:jc w:val="righ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pPr>
            <w:r>
              <w:rPr/>
              <w:t> </w:t>
            </w:r>
          </w:p>
        </w:tc>
        <w:tc>
          <w:tcPr>
            <w:tcW w:w="1155" w:type="dxa"/>
            <w:tcBorders>
              <w:bottom w:val="double" w:sz="8" w:space="0" w:color="000000"/>
            </w:tcBorders>
            <w:tcMar>
              <w:bottom w:w="28" w:type="dxa"/>
            </w:tcMar>
            <w:vAlign w:val="center"/>
          </w:tcPr>
          <w:p>
            <w:pPr>
              <w:pStyle w:val="TableContents"/>
              <w:bidi w:val="0"/>
              <w:spacing w:before="0" w:after="283"/>
              <w:jc w:val="right"/>
              <w:rPr/>
            </w:pPr>
            <w:r>
              <w:rPr/>
              <w:t>62,881,519</w:t>
            </w:r>
          </w:p>
        </w:tc>
        <w:tc>
          <w:tcPr>
            <w:tcW w:w="189" w:type="dxa"/>
            <w:tcBorders>
              <w:bottom w:val="double" w:sz="8"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pPr>
            <w:r>
              <w:rPr/>
              <w:t> </w:t>
            </w:r>
          </w:p>
        </w:tc>
        <w:tc>
          <w:tcPr>
            <w:tcW w:w="1155" w:type="dxa"/>
            <w:tcBorders>
              <w:bottom w:val="double" w:sz="8" w:space="0" w:color="000000"/>
            </w:tcBorders>
            <w:tcMar>
              <w:bottom w:w="28" w:type="dxa"/>
            </w:tcMar>
            <w:vAlign w:val="center"/>
          </w:tcPr>
          <w:p>
            <w:pPr>
              <w:pStyle w:val="TableContents"/>
              <w:bidi w:val="0"/>
              <w:spacing w:before="0" w:after="283"/>
              <w:jc w:val="right"/>
              <w:rPr/>
            </w:pPr>
            <w:r>
              <w:rPr/>
              <w:t>31,348,696</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bottom w:val="double" w:sz="8" w:space="0" w:color="000000"/>
            </w:tcBorders>
            <w:tcMar>
              <w:bottom w:w="28" w:type="dxa"/>
            </w:tcMar>
            <w:vAlign w:val="center"/>
          </w:tcPr>
          <w:p>
            <w:pPr>
              <w:pStyle w:val="TableContents"/>
              <w:bidi w:val="0"/>
              <w:spacing w:before="0" w:after="283"/>
              <w:jc w:val="left"/>
              <w:rPr/>
            </w:pPr>
            <w:r>
              <w:rPr/>
              <w:t> </w:t>
            </w:r>
          </w:p>
        </w:tc>
        <w:tc>
          <w:tcPr>
            <w:tcW w:w="1142" w:type="dxa"/>
            <w:tcBorders>
              <w:bottom w:val="double" w:sz="8" w:space="0" w:color="000000"/>
            </w:tcBorders>
            <w:tcMar>
              <w:bottom w:w="28" w:type="dxa"/>
            </w:tcMar>
            <w:vAlign w:val="center"/>
          </w:tcPr>
          <w:p>
            <w:pPr>
              <w:pStyle w:val="TableContents"/>
              <w:bidi w:val="0"/>
              <w:spacing w:before="0" w:after="283"/>
              <w:jc w:val="right"/>
              <w:rPr/>
            </w:pPr>
            <w:r>
              <w:rPr/>
              <w:t>48,056,431</w:t>
            </w:r>
          </w:p>
        </w:tc>
        <w:tc>
          <w:tcPr>
            <w:tcW w:w="186"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1" w:type="dxa"/>
            <w:tcBorders>
              <w:bottom w:val="double" w:sz="8" w:space="0" w:color="000000"/>
            </w:tcBorders>
            <w:tcMar>
              <w:bottom w:w="28" w:type="dxa"/>
            </w:tcMar>
            <w:vAlign w:val="center"/>
          </w:tcPr>
          <w:p>
            <w:pPr>
              <w:pStyle w:val="TableContents"/>
              <w:bidi w:val="0"/>
              <w:spacing w:before="0" w:after="283"/>
              <w:jc w:val="left"/>
              <w:rPr/>
            </w:pPr>
            <w:r>
              <w:rPr/>
              <w:t> </w:t>
            </w:r>
          </w:p>
        </w:tc>
        <w:tc>
          <w:tcPr>
            <w:tcW w:w="1021" w:type="dxa"/>
            <w:tcBorders>
              <w:bottom w:val="double" w:sz="8" w:space="0" w:color="000000"/>
            </w:tcBorders>
            <w:tcMar>
              <w:bottom w:w="28" w:type="dxa"/>
            </w:tcMar>
            <w:vAlign w:val="center"/>
          </w:tcPr>
          <w:p>
            <w:pPr>
              <w:pStyle w:val="TableContents"/>
              <w:bidi w:val="0"/>
              <w:spacing w:before="0" w:after="283"/>
              <w:jc w:val="right"/>
              <w:rPr/>
            </w:pPr>
            <w:r>
              <w:rPr/>
              <w:t>9,486,896</w:t>
            </w:r>
          </w:p>
        </w:tc>
        <w:tc>
          <w:tcPr>
            <w:tcW w:w="239"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r>
        <w:rPr/>
        <w:drawing>
          <wp:inline distT="0" distB="0" distL="0" distR="0">
            <wp:extent cx="1190625" cy="485775"/>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1190625" cy="485775"/>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NEUTRON HOLDINGS, INC.</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CONSOLIDATED STATEMENTS OF CASH FLOWS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(in thousands)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(Unaudited)</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4011"/>
        <w:gridCol w:w="90"/>
        <w:gridCol w:w="188"/>
        <w:gridCol w:w="1006"/>
        <w:gridCol w:w="205"/>
        <w:gridCol w:w="99"/>
        <w:gridCol w:w="188"/>
        <w:gridCol w:w="922"/>
        <w:gridCol w:w="185"/>
        <w:gridCol w:w="90"/>
        <w:gridCol w:w="806"/>
        <w:gridCol w:w="905"/>
        <w:gridCol w:w="185"/>
        <w:gridCol w:w="90"/>
        <w:gridCol w:w="170"/>
        <w:gridCol w:w="830"/>
        <w:gridCol w:w="235"/>
      </w:tblGrid>
      <w:tr>
        <w:trPr/>
        <w:tc>
          <w:tcPr>
            <w:tcW w:w="40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608" w:type="dxa"/>
            <w:gridSpan w:val="6"/>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Three Months Ended June 30,</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2986"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235" w:type="dxa"/>
            <w:tcBorders/>
            <w:vAlign w:val="center"/>
          </w:tcPr>
          <w:p>
            <w:pPr>
              <w:pStyle w:val="TableContents"/>
              <w:bidi w:val="0"/>
              <w:spacing w:before="0" w:after="283"/>
              <w:jc w:val="center"/>
              <w:rPr/>
            </w:pPr>
            <w:r>
              <w:rPr/>
              <w:t> </w:t>
            </w:r>
          </w:p>
        </w:tc>
      </w:tr>
      <w:tr>
        <w:trPr/>
        <w:tc>
          <w:tcPr>
            <w:tcW w:w="40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88"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6"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05"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88"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22"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5" w:type="dxa"/>
            <w:tcBorders/>
            <w:vAlign w:val="center"/>
          </w:tcPr>
          <w:p>
            <w:pPr>
              <w:pStyle w:val="TableContents"/>
              <w:bidi w:val="0"/>
              <w:spacing w:before="0" w:after="283"/>
              <w:jc w:val="center"/>
              <w:rPr/>
            </w:pPr>
            <w:r>
              <w:rPr/>
              <w:t> </w:t>
            </w:r>
          </w:p>
        </w:tc>
      </w:tr>
      <w:tr>
        <w:trPr/>
        <w:tc>
          <w:tcPr>
            <w:tcW w:w="4011" w:type="dxa"/>
            <w:tcBorders/>
            <w:shd w:fill="CCEEFF" w:val="clear"/>
            <w:vAlign w:val="center"/>
          </w:tcPr>
          <w:p>
            <w:pPr>
              <w:pStyle w:val="TableContents"/>
              <w:bidi w:val="0"/>
              <w:spacing w:before="0" w:after="0"/>
              <w:ind w:left="0" w:right="0" w:hanging="144"/>
              <w:jc w:val="left"/>
              <w:rPr/>
            </w:pPr>
            <w:r>
              <w:rPr>
                <w:b/>
              </w:rPr>
              <w:t>Cash flows from operating activities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1006"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9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right"/>
              <w:rPr/>
            </w:pPr>
            <w:r>
              <w:rPr/>
              <w:t> </w:t>
            </w:r>
          </w:p>
        </w:tc>
      </w:tr>
      <w:tr>
        <w:trPr/>
        <w:tc>
          <w:tcPr>
            <w:tcW w:w="4011" w:type="dxa"/>
            <w:tcBorders/>
            <w:vAlign w:val="center"/>
          </w:tcPr>
          <w:p>
            <w:pPr>
              <w:pStyle w:val="TableContents"/>
              <w:bidi w:val="0"/>
              <w:spacing w:before="0" w:after="0"/>
              <w:jc w:val="left"/>
              <w:rPr/>
            </w:pPr>
            <w:r>
              <w:rPr/>
              <w:t xml:space="preserve">Net income (loss)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w:t>
            </w:r>
          </w:p>
        </w:tc>
        <w:tc>
          <w:tcPr>
            <w:tcW w:w="1006" w:type="dxa"/>
            <w:tcBorders/>
            <w:vAlign w:val="center"/>
          </w:tcPr>
          <w:p>
            <w:pPr>
              <w:pStyle w:val="TableContents"/>
              <w:bidi w:val="0"/>
              <w:spacing w:before="0" w:after="283"/>
              <w:jc w:val="right"/>
              <w:rPr/>
            </w:pPr>
            <w:r>
              <w:rPr/>
              <w:t>295,379</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20,505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234,093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(35,459</w:t>
            </w:r>
          </w:p>
        </w:tc>
        <w:tc>
          <w:tcPr>
            <w:tcW w:w="235" w:type="dxa"/>
            <w:tcBorders/>
            <w:vAlign w:val="center"/>
          </w:tcPr>
          <w:p>
            <w:pPr>
              <w:pStyle w:val="TableContents"/>
              <w:bidi w:val="0"/>
              <w:spacing w:before="0" w:after="283"/>
              <w:jc w:val="left"/>
              <w:rPr/>
            </w:pPr>
            <w:r>
              <w:rPr/>
              <w:t>) </w:t>
            </w:r>
          </w:p>
        </w:tc>
      </w:tr>
      <w:tr>
        <w:trPr/>
        <w:tc>
          <w:tcPr>
            <w:tcW w:w="4011" w:type="dxa"/>
            <w:tcBorders/>
            <w:shd w:fill="CCEEFF" w:val="clear"/>
            <w:vAlign w:val="center"/>
          </w:tcPr>
          <w:p>
            <w:pPr>
              <w:pStyle w:val="TableContents"/>
              <w:bidi w:val="0"/>
              <w:spacing w:before="0" w:after="0"/>
              <w:ind w:left="0" w:right="0" w:hanging="144"/>
              <w:jc w:val="left"/>
              <w:rPr/>
            </w:pPr>
            <w:r>
              <w:rPr/>
              <w:t xml:space="preserve">Adjustments to reconcile net income to net cash provided by operating activities: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1006"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9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right"/>
              <w:rPr/>
            </w:pPr>
            <w:r>
              <w:rPr/>
              <w:t> </w:t>
            </w:r>
          </w:p>
        </w:tc>
      </w:tr>
      <w:tr>
        <w:trPr/>
        <w:tc>
          <w:tcPr>
            <w:tcW w:w="4011" w:type="dxa"/>
            <w:tcBorders/>
            <w:vAlign w:val="center"/>
          </w:tcPr>
          <w:p>
            <w:pPr>
              <w:pStyle w:val="TableContents"/>
              <w:bidi w:val="0"/>
              <w:spacing w:before="0" w:after="0"/>
              <w:jc w:val="left"/>
              <w:rPr/>
            </w:pPr>
            <w:r>
              <w:rPr/>
              <w:t xml:space="preserve">Depreciation and amortization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30,017</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28,501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60,357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56,854</w:t>
            </w:r>
          </w:p>
        </w:tc>
        <w:tc>
          <w:tcPr>
            <w:tcW w:w="235" w:type="dxa"/>
            <w:tcBorders/>
            <w:vAlign w:val="center"/>
          </w:tcPr>
          <w:p>
            <w:pPr>
              <w:pStyle w:val="TableContents"/>
              <w:bidi w:val="0"/>
              <w:spacing w:before="0" w:after="283"/>
              <w:jc w:val="left"/>
              <w:rPr/>
            </w:pPr>
            <w:r>
              <w:rPr/>
              <w:t> </w:t>
            </w:r>
          </w:p>
        </w:tc>
      </w:tr>
      <w:tr>
        <w:trPr/>
        <w:tc>
          <w:tcPr>
            <w:tcW w:w="4011" w:type="dxa"/>
            <w:tcBorders/>
            <w:shd w:fill="CCEEFF" w:val="clear"/>
            <w:vAlign w:val="center"/>
          </w:tcPr>
          <w:p>
            <w:pPr>
              <w:pStyle w:val="TableContents"/>
              <w:bidi w:val="0"/>
              <w:spacing w:before="0" w:after="0"/>
              <w:jc w:val="left"/>
              <w:rPr/>
            </w:pPr>
            <w:r>
              <w:rPr/>
              <w:t xml:space="preserve">Stock-based compensation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38,079</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2,969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40,721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6,121</w:t>
            </w:r>
          </w:p>
        </w:tc>
        <w:tc>
          <w:tcPr>
            <w:tcW w:w="235" w:type="dxa"/>
            <w:tcBorders/>
            <w:shd w:fill="CCEEFF" w:val="cle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jc w:val="left"/>
              <w:rPr/>
            </w:pPr>
            <w:r>
              <w:rPr/>
              <w:t xml:space="preserve">Amortization of debt discount and debt issuance costs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439</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437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873</w:t>
            </w:r>
          </w:p>
        </w:tc>
        <w:tc>
          <w:tcPr>
            <w:tcW w:w="235" w:type="dxa"/>
            <w:tcBorders/>
            <w:vAlign w:val="center"/>
          </w:tcPr>
          <w:p>
            <w:pPr>
              <w:pStyle w:val="TableContents"/>
              <w:bidi w:val="0"/>
              <w:spacing w:before="0" w:after="283"/>
              <w:jc w:val="left"/>
              <w:rPr/>
            </w:pPr>
            <w:r>
              <w:rPr/>
              <w:t> </w:t>
            </w:r>
          </w:p>
        </w:tc>
      </w:tr>
      <w:tr>
        <w:trPr/>
        <w:tc>
          <w:tcPr>
            <w:tcW w:w="4011" w:type="dxa"/>
            <w:tcBorders/>
            <w:shd w:fill="CCEEFF" w:val="clear"/>
            <w:vAlign w:val="center"/>
          </w:tcPr>
          <w:p>
            <w:pPr>
              <w:pStyle w:val="TableContents"/>
              <w:bidi w:val="0"/>
              <w:spacing w:before="0" w:after="0"/>
              <w:jc w:val="left"/>
              <w:rPr/>
            </w:pPr>
            <w:r>
              <w:rPr/>
              <w:t xml:space="preserve">Non-cash interest expense on convertible notes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1,716</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1,700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3,416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3,400</w:t>
            </w:r>
          </w:p>
        </w:tc>
        <w:tc>
          <w:tcPr>
            <w:tcW w:w="235" w:type="dxa"/>
            <w:tcBorders/>
            <w:shd w:fill="CCEEFF" w:val="cle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jc w:val="left"/>
              <w:rPr/>
            </w:pPr>
            <w:r>
              <w:rPr/>
              <w:t xml:space="preserve">Unrealized foreign currency gains, net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(5,566</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(17,823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(1,474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(26,823</w:t>
            </w:r>
          </w:p>
        </w:tc>
        <w:tc>
          <w:tcPr>
            <w:tcW w:w="235" w:type="dxa"/>
            <w:tcBorders/>
            <w:vAlign w:val="center"/>
          </w:tcPr>
          <w:p>
            <w:pPr>
              <w:pStyle w:val="TableContents"/>
              <w:bidi w:val="0"/>
              <w:spacing w:before="0" w:after="283"/>
              <w:jc w:val="left"/>
              <w:rPr/>
            </w:pPr>
            <w:r>
              <w:rPr/>
              <w:t>) </w:t>
            </w:r>
          </w:p>
        </w:tc>
      </w:tr>
      <w:tr>
        <w:trPr/>
        <w:tc>
          <w:tcPr>
            <w:tcW w:w="4011" w:type="dxa"/>
            <w:tcBorders/>
            <w:shd w:fill="CCEEFF" w:val="clear"/>
            <w:vAlign w:val="center"/>
          </w:tcPr>
          <w:p>
            <w:pPr>
              <w:pStyle w:val="TableContents"/>
              <w:bidi w:val="0"/>
              <w:spacing w:before="0" w:after="0"/>
              <w:jc w:val="left"/>
              <w:rPr/>
            </w:pPr>
            <w:r>
              <w:rPr/>
              <w:t xml:space="preserve">Deferred income taxes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(294,460</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(384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(294,878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(1,335</w:t>
            </w:r>
          </w:p>
        </w:tc>
        <w:tc>
          <w:tcPr>
            <w:tcW w:w="235" w:type="dxa"/>
            <w:tcBorders/>
            <w:shd w:fill="CCEEFF" w:val="cle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jc w:val="left"/>
              <w:rPr/>
            </w:pPr>
            <w:r>
              <w:rPr/>
              <w:t xml:space="preserve">Loss on vehicle asset disposals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361</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310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542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415</w:t>
            </w:r>
          </w:p>
        </w:tc>
        <w:tc>
          <w:tcPr>
            <w:tcW w:w="235" w:type="dxa"/>
            <w:tcBorders/>
            <w:vAlign w:val="center"/>
          </w:tcPr>
          <w:p>
            <w:pPr>
              <w:pStyle w:val="TableContents"/>
              <w:bidi w:val="0"/>
              <w:spacing w:before="0" w:after="283"/>
              <w:jc w:val="left"/>
              <w:rPr/>
            </w:pPr>
            <w:r>
              <w:rPr/>
              <w:t> </w:t>
            </w:r>
          </w:p>
        </w:tc>
      </w:tr>
      <w:tr>
        <w:trPr/>
        <w:tc>
          <w:tcPr>
            <w:tcW w:w="4011" w:type="dxa"/>
            <w:tcBorders/>
            <w:shd w:fill="CCEEFF" w:val="clear"/>
            <w:vAlign w:val="center"/>
          </w:tcPr>
          <w:p>
            <w:pPr>
              <w:pStyle w:val="TableContents"/>
              <w:bidi w:val="0"/>
              <w:spacing w:before="0" w:after="0"/>
              <w:jc w:val="left"/>
              <w:rPr/>
            </w:pPr>
            <w:r>
              <w:rPr/>
              <w:t xml:space="preserve">Loss on change in fair value of the 2021 Notes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240</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30,754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25,239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57,554</w:t>
            </w:r>
          </w:p>
        </w:tc>
        <w:tc>
          <w:tcPr>
            <w:tcW w:w="235" w:type="dxa"/>
            <w:tcBorders/>
            <w:shd w:fill="CCEEFF" w:val="clear"/>
            <w:vAlign w:val="center"/>
          </w:tcPr>
          <w:p>
            <w:pPr>
              <w:pStyle w:val="TableContents"/>
              <w:bidi w:val="0"/>
              <w:spacing w:before="0" w:after="283"/>
              <w:ind w:left="0" w:right="0" w:hanging="150"/>
              <w:jc w:val="left"/>
              <w:rPr/>
            </w:pPr>
            <w:r>
              <w:rPr/>
              <w:t> </w:t>
            </w:r>
          </w:p>
        </w:tc>
      </w:tr>
      <w:tr>
        <w:trPr/>
        <w:tc>
          <w:tcPr>
            <w:tcW w:w="4011" w:type="dxa"/>
            <w:tcBorders/>
            <w:vAlign w:val="center"/>
          </w:tcPr>
          <w:p>
            <w:pPr>
              <w:pStyle w:val="TableContents"/>
              <w:bidi w:val="0"/>
              <w:spacing w:before="0" w:after="0"/>
              <w:jc w:val="left"/>
              <w:rPr/>
            </w:pPr>
            <w:r>
              <w:rPr/>
              <w:t xml:space="preserve">Cumulative loss of instrument-specific credit risk related to settlement of 2021 Notes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19,868</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ind w:left="0" w:right="0" w:firstLine="716"/>
              <w:jc w:val="left"/>
              <w:rPr/>
            </w:pPr>
            <w:r>
              <w:rPr/>
              <w:t> </w:t>
            </w:r>
          </w:p>
        </w:tc>
        <w:tc>
          <w:tcPr>
            <w:tcW w:w="905" w:type="dxa"/>
            <w:tcBorders/>
            <w:vAlign w:val="center"/>
          </w:tcPr>
          <w:p>
            <w:pPr>
              <w:pStyle w:val="TableContents"/>
              <w:bidi w:val="0"/>
              <w:spacing w:before="0" w:after="283"/>
              <w:jc w:val="right"/>
              <w:rPr/>
            </w:pPr>
            <w:r>
              <w:rPr/>
              <w:t>19,868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235" w:type="dxa"/>
            <w:tcBorders/>
            <w:vAlign w:val="center"/>
          </w:tcPr>
          <w:p>
            <w:pPr>
              <w:pStyle w:val="TableContents"/>
              <w:bidi w:val="0"/>
              <w:spacing w:before="0" w:after="283"/>
              <w:jc w:val="left"/>
              <w:rPr/>
            </w:pPr>
            <w:r>
              <w:rPr/>
              <w:t> </w:t>
            </w:r>
          </w:p>
        </w:tc>
      </w:tr>
      <w:tr>
        <w:trPr/>
        <w:tc>
          <w:tcPr>
            <w:tcW w:w="4011" w:type="dxa"/>
            <w:tcBorders/>
            <w:shd w:fill="CCEEFF" w:val="clear"/>
            <w:vAlign w:val="center"/>
          </w:tcPr>
          <w:p>
            <w:pPr>
              <w:pStyle w:val="TableContents"/>
              <w:bidi w:val="0"/>
              <w:spacing w:before="0" w:after="0"/>
              <w:jc w:val="left"/>
              <w:rPr/>
            </w:pPr>
            <w:r>
              <w:rPr/>
              <w:t xml:space="preserve">Other, net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325</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847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1,815</w:t>
            </w:r>
          </w:p>
        </w:tc>
        <w:tc>
          <w:tcPr>
            <w:tcW w:w="235" w:type="dxa"/>
            <w:tcBorders/>
            <w:shd w:fill="CCEEFF" w:val="cle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ind w:left="0" w:right="0" w:hanging="144"/>
              <w:jc w:val="left"/>
              <w:rPr/>
            </w:pPr>
            <w:r>
              <w:rPr/>
              <w:t xml:space="preserve">Changes in operating assets and liabilities: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922"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011" w:type="dxa"/>
            <w:tcBorders/>
            <w:shd w:fill="CCEEFF" w:val="clear"/>
            <w:vAlign w:val="center"/>
          </w:tcPr>
          <w:p>
            <w:pPr>
              <w:pStyle w:val="TableContents"/>
              <w:bidi w:val="0"/>
              <w:spacing w:before="0" w:after="0"/>
              <w:jc w:val="left"/>
              <w:rPr/>
            </w:pPr>
            <w:r>
              <w:rPr/>
              <w:t xml:space="preserve">Accounts receivable, net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(14,300</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(6,011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(18,292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(12,339</w:t>
            </w:r>
          </w:p>
        </w:tc>
        <w:tc>
          <w:tcPr>
            <w:tcW w:w="235" w:type="dxa"/>
            <w:tcBorders/>
            <w:shd w:fill="CCEEFF" w:val="cle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jc w:val="left"/>
              <w:rPr/>
            </w:pPr>
            <w:r>
              <w:rPr/>
              <w:t xml:space="preserve">Prepaid expenses and other assets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(31,020</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(6,027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(47,306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2,384</w:t>
            </w:r>
          </w:p>
        </w:tc>
        <w:tc>
          <w:tcPr>
            <w:tcW w:w="235" w:type="dxa"/>
            <w:tcBorders/>
            <w:vAlign w:val="center"/>
          </w:tcPr>
          <w:p>
            <w:pPr>
              <w:pStyle w:val="TableContents"/>
              <w:bidi w:val="0"/>
              <w:spacing w:before="0" w:after="283"/>
              <w:jc w:val="left"/>
              <w:rPr/>
            </w:pPr>
            <w:r>
              <w:rPr/>
              <w:t> </w:t>
            </w:r>
          </w:p>
        </w:tc>
      </w:tr>
      <w:tr>
        <w:trPr/>
        <w:tc>
          <w:tcPr>
            <w:tcW w:w="4011" w:type="dxa"/>
            <w:tcBorders/>
            <w:shd w:fill="CCEEFF" w:val="clear"/>
            <w:vAlign w:val="center"/>
          </w:tcPr>
          <w:p>
            <w:pPr>
              <w:pStyle w:val="TableContents"/>
              <w:bidi w:val="0"/>
              <w:spacing w:before="0" w:after="0"/>
              <w:jc w:val="left"/>
              <w:rPr/>
            </w:pPr>
            <w:r>
              <w:rPr/>
              <w:t xml:space="preserve">Accounts payable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3,076</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1,849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985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(1,031</w:t>
            </w:r>
          </w:p>
        </w:tc>
        <w:tc>
          <w:tcPr>
            <w:tcW w:w="235" w:type="dxa"/>
            <w:tcBorders/>
            <w:shd w:fill="CCEEFF" w:val="cle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jc w:val="left"/>
              <w:rPr/>
            </w:pPr>
            <w:r>
              <w:rPr/>
              <w:t xml:space="preserve">Accrued and other liabilities </w:t>
            </w:r>
          </w:p>
        </w:tc>
        <w:tc>
          <w:tcPr>
            <w:tcW w:w="90" w:type="dxa"/>
            <w:tcBorders/>
            <w:vAlign w:val="center"/>
          </w:tcPr>
          <w:p>
            <w:pPr>
              <w:pStyle w:val="TableContents"/>
              <w:bidi w:val="0"/>
              <w:spacing w:before="0" w:after="283"/>
              <w:jc w:val="righ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tcMar>
              <w:bottom w:w="28" w:type="dxa"/>
            </w:tcMar>
            <w:vAlign w:val="center"/>
          </w:tcPr>
          <w:p>
            <w:pPr>
              <w:pStyle w:val="TableContents"/>
              <w:bidi w:val="0"/>
              <w:spacing w:before="0" w:after="283"/>
              <w:jc w:val="right"/>
              <w:rPr/>
            </w:pPr>
            <w:r>
              <w:rPr/>
              <w:t>27,439</w:t>
            </w:r>
          </w:p>
        </w:tc>
        <w:tc>
          <w:tcPr>
            <w:tcW w:w="205" w:type="dxa"/>
            <w:tcBorders>
              <w:bottom w:val="single" w:sz="1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tcMar>
              <w:bottom w:w="28" w:type="dxa"/>
            </w:tcMar>
            <w:vAlign w:val="center"/>
          </w:tcPr>
          <w:p>
            <w:pPr>
              <w:pStyle w:val="TableContents"/>
              <w:bidi w:val="0"/>
              <w:spacing w:before="0" w:after="283"/>
              <w:jc w:val="right"/>
              <w:rPr/>
            </w:pPr>
            <w:r>
              <w:rPr/>
              <w:t>29,640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24,131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14,223</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011" w:type="dxa"/>
            <w:tcBorders/>
            <w:shd w:fill="CCEEFF" w:val="clear"/>
            <w:vAlign w:val="center"/>
          </w:tcPr>
          <w:p>
            <w:pPr>
              <w:pStyle w:val="TableContents"/>
              <w:bidi w:val="0"/>
              <w:spacing w:before="0" w:after="0"/>
              <w:jc w:val="left"/>
              <w:rPr/>
            </w:pPr>
            <w:r>
              <w:rPr>
                <w:b/>
              </w:rPr>
              <w:t>Net cash provided by operating activities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b/>
              </w:rPr>
            </w:pPr>
            <w:r>
              <w:rPr>
                <w:b/>
              </w:rPr>
              <w:t>71,593</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b/>
              </w:rPr>
            </w:pPr>
            <w:r>
              <w:rPr>
                <w:b/>
              </w:rPr>
              <w:t>87,267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49,291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66,652</w:t>
            </w:r>
          </w:p>
        </w:tc>
        <w:tc>
          <w:tcPr>
            <w:tcW w:w="235" w:type="dxa"/>
            <w:tcBorders/>
            <w:shd w:fill="CCEEFF" w:val="cle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ind w:left="0" w:right="0" w:hanging="144"/>
              <w:jc w:val="left"/>
              <w:rPr/>
            </w:pPr>
            <w:r>
              <w:rPr>
                <w:b/>
              </w:rPr>
              <w:t>Cash flows from investing activities</w:t>
            </w:r>
            <w:r>
              <w:rPr/>
              <w:t xml:space="preserve">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922"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011" w:type="dxa"/>
            <w:tcBorders/>
            <w:shd w:fill="CCEEFF" w:val="clear"/>
            <w:vAlign w:val="center"/>
          </w:tcPr>
          <w:p>
            <w:pPr>
              <w:pStyle w:val="TableContents"/>
              <w:bidi w:val="0"/>
              <w:spacing w:before="0" w:after="0"/>
              <w:jc w:val="left"/>
              <w:rPr/>
            </w:pPr>
            <w:r>
              <w:rPr/>
              <w:t xml:space="preserve">Purchases of vehicle assets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(70,028</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(31,742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(122,562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(80,180</w:t>
            </w:r>
          </w:p>
        </w:tc>
        <w:tc>
          <w:tcPr>
            <w:tcW w:w="235" w:type="dxa"/>
            <w:tcBorders/>
            <w:shd w:fill="CCEEFF" w:val="cle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jc w:val="left"/>
              <w:rPr/>
            </w:pPr>
            <w:r>
              <w:rPr/>
              <w:t xml:space="preserve">Tariff refund for vehicle assets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535</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535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235" w:type="dxa"/>
            <w:tcBorders/>
            <w:vAlign w:val="center"/>
          </w:tcPr>
          <w:p>
            <w:pPr>
              <w:pStyle w:val="TableContents"/>
              <w:bidi w:val="0"/>
              <w:spacing w:before="0" w:after="283"/>
              <w:jc w:val="left"/>
              <w:rPr/>
            </w:pPr>
            <w:r>
              <w:rPr/>
              <w:t> </w:t>
            </w:r>
          </w:p>
        </w:tc>
      </w:tr>
      <w:tr>
        <w:trPr/>
        <w:tc>
          <w:tcPr>
            <w:tcW w:w="4011" w:type="dxa"/>
            <w:tcBorders/>
            <w:shd w:fill="CCEEFF" w:val="clear"/>
            <w:vAlign w:val="center"/>
          </w:tcPr>
          <w:p>
            <w:pPr>
              <w:pStyle w:val="TableContents"/>
              <w:bidi w:val="0"/>
              <w:spacing w:before="0" w:after="0"/>
              <w:jc w:val="left"/>
              <w:rPr/>
            </w:pPr>
            <w:r>
              <w:rPr/>
              <w:t xml:space="preserve">Purchases of non-vehicle assets </w:t>
            </w:r>
          </w:p>
        </w:tc>
        <w:tc>
          <w:tcPr>
            <w:tcW w:w="90" w:type="dxa"/>
            <w:tcBorders/>
            <w:shd w:fill="CCEEFF" w:val="clear"/>
            <w:vAlign w:val="center"/>
          </w:tcPr>
          <w:p>
            <w:pPr>
              <w:pStyle w:val="TableContents"/>
              <w:bidi w:val="0"/>
              <w:spacing w:before="0" w:after="283"/>
              <w:jc w:val="righ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(6,234</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(3,254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(10,589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(6,355</w:t>
            </w:r>
          </w:p>
        </w:tc>
        <w:tc>
          <w:tcPr>
            <w:tcW w:w="235" w:type="dxa"/>
            <w:tcBorders/>
            <w:shd w:fill="CCEEFF" w:val="cle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jc w:val="left"/>
              <w:rPr/>
            </w:pPr>
            <w:r>
              <w:rPr>
                <w:b/>
              </w:rPr>
              <w:t>Net cash used by investing activities</w:t>
            </w:r>
            <w:r>
              <w:rPr/>
              <w:t xml:space="preserve">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b/>
              </w:rPr>
            </w:pPr>
            <w:r>
              <w:rPr>
                <w:b/>
              </w:rPr>
              <w:t>(75,727</w:t>
            </w:r>
          </w:p>
        </w:tc>
        <w:tc>
          <w:tcPr>
            <w:tcW w:w="205" w:type="dxa"/>
            <w:tcBorders/>
            <w:vAlign w:val="center"/>
          </w:tcPr>
          <w:p>
            <w:pPr>
              <w:pStyle w:val="TableContents"/>
              <w:bidi w:val="0"/>
              <w:spacing w:before="0" w:after="283"/>
              <w:jc w:val="left"/>
              <w:rPr>
                <w:b/>
              </w:rPr>
            </w:pPr>
            <w:r>
              <w:rPr>
                <w:b/>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b/>
              </w:rPr>
            </w:pPr>
            <w:r>
              <w:rPr>
                <w:b/>
              </w:rPr>
              <w:t>(34,996</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(132,616</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(86,535</w:t>
            </w:r>
          </w:p>
        </w:tc>
        <w:tc>
          <w:tcPr>
            <w:tcW w:w="235" w:type="dxa"/>
            <w:tcBorders>
              <w:bottom w:val="single" w:sz="12" w:space="0" w:color="000000"/>
            </w:tcBorders>
            <w:tcMar>
              <w:bottom w:w="28" w:type="dxa"/>
            </w:tcMar>
            <w:vAlign w:val="center"/>
          </w:tcPr>
          <w:p>
            <w:pPr>
              <w:pStyle w:val="TableContents"/>
              <w:bidi w:val="0"/>
              <w:spacing w:before="0" w:after="283"/>
              <w:jc w:val="left"/>
              <w:rPr>
                <w:b/>
              </w:rPr>
            </w:pPr>
            <w:r>
              <w:rPr>
                <w:b/>
              </w:rPr>
              <w:t>) </w:t>
            </w:r>
          </w:p>
        </w:tc>
      </w:tr>
      <w:tr>
        <w:trPr/>
        <w:tc>
          <w:tcPr>
            <w:tcW w:w="4011" w:type="dxa"/>
            <w:tcBorders/>
            <w:shd w:fill="CCEEFF" w:val="clear"/>
            <w:vAlign w:val="center"/>
          </w:tcPr>
          <w:p>
            <w:pPr>
              <w:pStyle w:val="TableContents"/>
              <w:bidi w:val="0"/>
              <w:spacing w:before="0" w:after="0"/>
              <w:ind w:left="0" w:right="0" w:hanging="144"/>
              <w:jc w:val="left"/>
              <w:rPr/>
            </w:pPr>
            <w:r>
              <w:rPr>
                <w:b/>
              </w:rPr>
              <w:t>Cash flows from financing activities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1006"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9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right"/>
              <w:rPr/>
            </w:pPr>
            <w:r>
              <w:rPr/>
              <w:t> </w:t>
            </w:r>
          </w:p>
        </w:tc>
      </w:tr>
      <w:tr>
        <w:trPr/>
        <w:tc>
          <w:tcPr>
            <w:tcW w:w="4011" w:type="dxa"/>
            <w:tcBorders/>
            <w:vAlign w:val="center"/>
          </w:tcPr>
          <w:p>
            <w:pPr>
              <w:pStyle w:val="TableContents"/>
              <w:bidi w:val="0"/>
              <w:spacing w:before="0" w:after="0"/>
              <w:jc w:val="left"/>
              <w:rPr/>
            </w:pPr>
            <w:r>
              <w:rPr/>
              <w:t xml:space="preserve">Proceeds from exercises of stock options and other common stock issuances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928</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829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3,989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2,741</w:t>
            </w:r>
          </w:p>
        </w:tc>
        <w:tc>
          <w:tcPr>
            <w:tcW w:w="235" w:type="dxa"/>
            <w:tcBorders/>
            <w:vAlign w:val="center"/>
          </w:tcPr>
          <w:p>
            <w:pPr>
              <w:pStyle w:val="TableContents"/>
              <w:bidi w:val="0"/>
              <w:spacing w:before="0" w:after="283"/>
              <w:jc w:val="left"/>
              <w:rPr/>
            </w:pPr>
            <w:r>
              <w:rPr/>
              <w:t> </w:t>
            </w:r>
          </w:p>
        </w:tc>
      </w:tr>
      <w:tr>
        <w:trPr/>
        <w:tc>
          <w:tcPr>
            <w:tcW w:w="4011" w:type="dxa"/>
            <w:tcBorders/>
            <w:shd w:fill="CCEEFF" w:val="clear"/>
            <w:vAlign w:val="center"/>
          </w:tcPr>
          <w:p>
            <w:pPr>
              <w:pStyle w:val="TableContents"/>
              <w:bidi w:val="0"/>
              <w:spacing w:before="0" w:after="0"/>
              <w:jc w:val="left"/>
              <w:rPr/>
            </w:pPr>
            <w:r>
              <w:rPr/>
              <w:t xml:space="preserve">Proceeds from exercises of preferred stock warrants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xml:space="preserve">- </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55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55</w:t>
            </w:r>
          </w:p>
        </w:tc>
        <w:tc>
          <w:tcPr>
            <w:tcW w:w="235" w:type="dxa"/>
            <w:tcBorders/>
            <w:shd w:fill="CCEEFF" w:val="cle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jc w:val="left"/>
              <w:rPr/>
            </w:pPr>
            <w:r>
              <w:rPr/>
              <w:t xml:space="preserve">Proceeds from exercises of common stock warrants </w:t>
            </w:r>
          </w:p>
        </w:tc>
        <w:tc>
          <w:tcPr>
            <w:tcW w:w="9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183</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235" w:type="dxa"/>
            <w:tcBorders/>
            <w:vAlign w:val="center"/>
          </w:tcPr>
          <w:p>
            <w:pPr>
              <w:pStyle w:val="TableContents"/>
              <w:bidi w:val="0"/>
              <w:spacing w:before="0" w:after="283"/>
              <w:ind w:left="0" w:right="0" w:hanging="150"/>
              <w:jc w:val="left"/>
              <w:rPr/>
            </w:pPr>
            <w:r>
              <w:rPr/>
              <w:t> </w:t>
            </w:r>
          </w:p>
        </w:tc>
      </w:tr>
      <w:tr>
        <w:trPr/>
        <w:tc>
          <w:tcPr>
            <w:tcW w:w="4011" w:type="dxa"/>
            <w:tcBorders/>
            <w:shd w:fill="CCEEFF" w:val="clear"/>
            <w:vAlign w:val="center"/>
          </w:tcPr>
          <w:p>
            <w:pPr>
              <w:pStyle w:val="TableContents"/>
              <w:bidi w:val="0"/>
              <w:spacing w:before="0" w:after="0"/>
              <w:jc w:val="left"/>
              <w:rPr/>
            </w:pPr>
            <w:r>
              <w:rPr/>
              <w:t xml:space="preserve">Settlement of promissory notes issued in exchange for the early exercise of stock options </w:t>
            </w:r>
          </w:p>
        </w:tc>
        <w:tc>
          <w:tcPr>
            <w:tcW w:w="9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xml:space="preserve">- </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9,100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235" w:type="dxa"/>
            <w:tcBorders/>
            <w:shd w:fill="CCEEFF" w:val="cle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jc w:val="left"/>
              <w:rPr/>
            </w:pPr>
            <w:r>
              <w:rPr/>
              <w:t xml:space="preserve">Deferred offering costs paid </w:t>
            </w:r>
          </w:p>
        </w:tc>
        <w:tc>
          <w:tcPr>
            <w:tcW w:w="90" w:type="dxa"/>
            <w:tcBorders/>
            <w:vAlign w:val="center"/>
          </w:tcPr>
          <w:p>
            <w:pPr>
              <w:pStyle w:val="TableContents"/>
              <w:bidi w:val="0"/>
              <w:spacing w:before="0" w:after="283"/>
              <w:jc w:val="righ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tcMar>
              <w:bottom w:w="28" w:type="dxa"/>
            </w:tcMar>
            <w:vAlign w:val="center"/>
          </w:tcPr>
          <w:p>
            <w:pPr>
              <w:pStyle w:val="TableContents"/>
              <w:bidi w:val="0"/>
              <w:spacing w:before="0" w:after="283"/>
              <w:jc w:val="right"/>
              <w:rPr/>
            </w:pPr>
            <w:r>
              <w:rPr/>
              <w:t>(2,746</w:t>
            </w:r>
          </w:p>
        </w:tc>
        <w:tc>
          <w:tcPr>
            <w:tcW w:w="205" w:type="dxa"/>
            <w:tcBorders>
              <w:bottom w:val="single" w:sz="1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(5,585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011" w:type="dxa"/>
            <w:tcBorders/>
            <w:shd w:fill="CCEEFF" w:val="clear"/>
            <w:vAlign w:val="center"/>
          </w:tcPr>
          <w:p>
            <w:pPr>
              <w:pStyle w:val="TableContents"/>
              <w:bidi w:val="0"/>
              <w:spacing w:before="0" w:after="0"/>
              <w:jc w:val="left"/>
              <w:rPr/>
            </w:pPr>
            <w:r>
              <w:rPr>
                <w:b/>
              </w:rPr>
              <w:t>Net cash (used by) provided by financing activities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(1,635</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9" w:type="dxa"/>
            <w:tcBorders/>
            <w:shd w:fill="CCEEFF" w:val="clear"/>
            <w:vAlign w:val="center"/>
          </w:tcPr>
          <w:p>
            <w:pPr>
              <w:pStyle w:val="TableContents"/>
              <w:bidi w:val="0"/>
              <w:spacing w:before="0" w:after="283"/>
              <w:jc w:val="righ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884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7,895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2,796</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ind w:left="0" w:right="0" w:hanging="144"/>
              <w:jc w:val="left"/>
              <w:rPr/>
            </w:pPr>
            <w:r>
              <w:rPr/>
              <w:t xml:space="preserve">Effect of exchange rate changes on cash and cash equivalents, and restricted cash </w:t>
            </w:r>
          </w:p>
        </w:tc>
        <w:tc>
          <w:tcPr>
            <w:tcW w:w="90" w:type="dxa"/>
            <w:tcBorders/>
            <w:vAlign w:val="center"/>
          </w:tcPr>
          <w:p>
            <w:pPr>
              <w:pStyle w:val="TableContents"/>
              <w:bidi w:val="0"/>
              <w:spacing w:before="0" w:after="283"/>
              <w:jc w:val="righ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tcMar>
              <w:bottom w:w="28" w:type="dxa"/>
            </w:tcMar>
            <w:vAlign w:val="center"/>
          </w:tcPr>
          <w:p>
            <w:pPr>
              <w:pStyle w:val="TableContents"/>
              <w:bidi w:val="0"/>
              <w:spacing w:before="0" w:after="283"/>
              <w:jc w:val="right"/>
              <w:rPr/>
            </w:pPr>
            <w:r>
              <w:rPr/>
              <w:t>1,055</w:t>
            </w:r>
          </w:p>
        </w:tc>
        <w:tc>
          <w:tcPr>
            <w:tcW w:w="205" w:type="dxa"/>
            <w:tcBorders>
              <w:bottom w:val="single" w:sz="1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tcMar>
              <w:bottom w:w="28" w:type="dxa"/>
            </w:tcMar>
            <w:vAlign w:val="center"/>
          </w:tcPr>
          <w:p>
            <w:pPr>
              <w:pStyle w:val="TableContents"/>
              <w:bidi w:val="0"/>
              <w:spacing w:before="0" w:after="283"/>
              <w:jc w:val="right"/>
              <w:rPr/>
            </w:pPr>
            <w:r>
              <w:rPr/>
              <w:t>8,299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(678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11,050</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011" w:type="dxa"/>
            <w:tcBorders/>
            <w:shd w:fill="CCEEFF" w:val="clear"/>
            <w:vAlign w:val="center"/>
          </w:tcPr>
          <w:p>
            <w:pPr>
              <w:pStyle w:val="TableContents"/>
              <w:bidi w:val="0"/>
              <w:spacing w:before="0" w:after="0"/>
              <w:ind w:left="0" w:right="0" w:hanging="144"/>
              <w:jc w:val="left"/>
              <w:rPr/>
            </w:pPr>
            <w:r>
              <w:rPr/>
              <w:t xml:space="preserve">Net (decrease) increase in cash and cash equivalents, and restricted cash </w:t>
            </w:r>
          </w:p>
        </w:tc>
        <w:tc>
          <w:tcPr>
            <w:tcW w:w="90" w:type="dxa"/>
            <w:tcBorders/>
            <w:shd w:fill="CCEEFF" w:val="clear"/>
            <w:vAlign w:val="center"/>
          </w:tcPr>
          <w:p>
            <w:pPr>
              <w:pStyle w:val="TableContents"/>
              <w:bidi w:val="0"/>
              <w:spacing w:before="0" w:after="283"/>
              <w:jc w:val="righ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(4,714</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61,454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(76,108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(6,037</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011" w:type="dxa"/>
            <w:tcBorders/>
            <w:vAlign w:val="center"/>
          </w:tcPr>
          <w:p>
            <w:pPr>
              <w:pStyle w:val="TableContents"/>
              <w:bidi w:val="0"/>
              <w:spacing w:before="0" w:after="0"/>
              <w:ind w:left="0" w:right="0" w:hanging="144"/>
              <w:jc w:val="left"/>
              <w:rPr/>
            </w:pPr>
            <w:r>
              <w:rPr/>
              <w:t xml:space="preserve">Cash and cash equivalents, and restricted cash, beginning of period </w:t>
            </w:r>
          </w:p>
        </w:tc>
        <w:tc>
          <w:tcPr>
            <w:tcW w:w="90" w:type="dxa"/>
            <w:tcBorders/>
            <w:vAlign w:val="center"/>
          </w:tcPr>
          <w:p>
            <w:pPr>
              <w:pStyle w:val="TableContents"/>
              <w:bidi w:val="0"/>
              <w:spacing w:before="0" w:after="283"/>
              <w:jc w:val="righ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tcMar>
              <w:bottom w:w="28" w:type="dxa"/>
            </w:tcMar>
            <w:vAlign w:val="center"/>
          </w:tcPr>
          <w:p>
            <w:pPr>
              <w:pStyle w:val="TableContents"/>
              <w:bidi w:val="0"/>
              <w:spacing w:before="0" w:after="283"/>
              <w:jc w:val="right"/>
              <w:rPr/>
            </w:pPr>
            <w:r>
              <w:rPr/>
              <w:t>343,907</w:t>
            </w:r>
          </w:p>
        </w:tc>
        <w:tc>
          <w:tcPr>
            <w:tcW w:w="205" w:type="dxa"/>
            <w:tcBorders>
              <w:bottom w:val="single" w:sz="1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tcMar>
              <w:bottom w:w="28" w:type="dxa"/>
            </w:tcMar>
            <w:vAlign w:val="center"/>
          </w:tcPr>
          <w:p>
            <w:pPr>
              <w:pStyle w:val="TableContents"/>
              <w:bidi w:val="0"/>
              <w:spacing w:before="0" w:after="283"/>
              <w:jc w:val="right"/>
              <w:rPr/>
            </w:pPr>
            <w:r>
              <w:rPr/>
              <w:t>232,841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806"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415,301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300,332</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011" w:type="dxa"/>
            <w:tcBorders/>
            <w:shd w:fill="CCEEFF" w:val="clear"/>
            <w:vAlign w:val="center"/>
          </w:tcPr>
          <w:p>
            <w:pPr>
              <w:pStyle w:val="TableContents"/>
              <w:bidi w:val="0"/>
              <w:spacing w:before="0" w:after="0"/>
              <w:ind w:left="0" w:right="0" w:hanging="144"/>
              <w:jc w:val="left"/>
              <w:rPr/>
            </w:pPr>
            <w:r>
              <w:rPr>
                <w:b/>
              </w:rPr>
              <w:t>Cash and cash equivalents, and restricted cash, end of period</w:t>
            </w:r>
            <w:r>
              <w:rPr/>
              <w:t xml:space="preserve"> </w:t>
            </w:r>
          </w:p>
        </w:tc>
        <w:tc>
          <w:tcPr>
            <w:tcW w:w="90" w:type="dxa"/>
            <w:tcBorders/>
            <w:shd w:fill="CCEEFF" w:val="clear"/>
            <w:vAlign w:val="center"/>
          </w:tcPr>
          <w:p>
            <w:pPr>
              <w:pStyle w:val="TableContents"/>
              <w:bidi w:val="0"/>
              <w:spacing w:before="0" w:after="283"/>
              <w:jc w:val="right"/>
              <w:rPr/>
            </w:pPr>
            <w:r>
              <w:rPr/>
              <w:t> </w:t>
            </w:r>
          </w:p>
        </w:tc>
        <w:tc>
          <w:tcPr>
            <w:tcW w:w="188"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06"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339,193</w:t>
            </w:r>
          </w:p>
        </w:tc>
        <w:tc>
          <w:tcPr>
            <w:tcW w:w="20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22"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294,295</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80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339,193</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294,295</w:t>
            </w:r>
          </w:p>
        </w:tc>
        <w:tc>
          <w:tcPr>
            <w:tcW w:w="2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r>
        <w:rPr/>
        <w:drawing>
          <wp:inline distT="0" distB="0" distL="0" distR="0">
            <wp:extent cx="1190625" cy="485775"/>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1190625" cy="485775"/>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NEUTRON HOLDINGS, INC.</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NON-GAAP FINANCIAL MEASURES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(in thousands)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(Unaudited)</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Adjusted Gross Profit:</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3946"/>
        <w:gridCol w:w="90"/>
        <w:gridCol w:w="208"/>
        <w:gridCol w:w="1017"/>
        <w:gridCol w:w="300"/>
        <w:gridCol w:w="109"/>
        <w:gridCol w:w="208"/>
        <w:gridCol w:w="1017"/>
        <w:gridCol w:w="245"/>
        <w:gridCol w:w="90"/>
        <w:gridCol w:w="195"/>
        <w:gridCol w:w="953"/>
        <w:gridCol w:w="281"/>
        <w:gridCol w:w="103"/>
        <w:gridCol w:w="195"/>
        <w:gridCol w:w="953"/>
        <w:gridCol w:w="295"/>
      </w:tblGrid>
      <w:tr>
        <w:trPr/>
        <w:tc>
          <w:tcPr>
            <w:tcW w:w="39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3946" w:type="dxa"/>
            <w:vMerge w:val="restart"/>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859"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June 30,</w:t>
            </w:r>
            <w:r>
              <w:rPr/>
              <w:t xml:space="preserve">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2680"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295" w:type="dxa"/>
            <w:tcBorders/>
            <w:vAlign w:val="center"/>
          </w:tcPr>
          <w:p>
            <w:pPr>
              <w:pStyle w:val="TableContents"/>
              <w:bidi w:val="0"/>
              <w:spacing w:before="0" w:after="283"/>
              <w:jc w:val="center"/>
              <w:rPr/>
            </w:pPr>
            <w:r>
              <w:rPr/>
              <w:t> </w:t>
            </w:r>
          </w:p>
        </w:tc>
      </w:tr>
      <w:tr>
        <w:trPr/>
        <w:tc>
          <w:tcPr>
            <w:tcW w:w="3946" w:type="dxa"/>
            <w:vMerge w:val="continue"/>
            <w:tcBorders/>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208"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7"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300" w:type="dxa"/>
            <w:tcBorders/>
            <w:vAlign w:val="center"/>
          </w:tcPr>
          <w:p>
            <w:pPr>
              <w:pStyle w:val="TableContents"/>
              <w:bidi w:val="0"/>
              <w:spacing w:before="0" w:after="283"/>
              <w:jc w:val="center"/>
              <w:rPr/>
            </w:pPr>
            <w:r>
              <w:rPr/>
              <w:t> </w:t>
            </w:r>
          </w:p>
        </w:tc>
        <w:tc>
          <w:tcPr>
            <w:tcW w:w="109" w:type="dxa"/>
            <w:tcBorders/>
            <w:vAlign w:val="center"/>
          </w:tcPr>
          <w:p>
            <w:pPr>
              <w:pStyle w:val="TableContents"/>
              <w:bidi w:val="0"/>
              <w:spacing w:before="0" w:after="283"/>
              <w:jc w:val="center"/>
              <w:rPr/>
            </w:pPr>
            <w:r>
              <w:rPr/>
              <w:t> </w:t>
            </w:r>
          </w:p>
        </w:tc>
        <w:tc>
          <w:tcPr>
            <w:tcW w:w="208"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7"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3"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81" w:type="dxa"/>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center"/>
              <w:rPr/>
            </w:pPr>
            <w:r>
              <w:rPr/>
              <w:t> </w:t>
            </w:r>
          </w:p>
        </w:tc>
        <w:tc>
          <w:tcPr>
            <w:tcW w:w="19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3"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95" w:type="dxa"/>
            <w:tcBorders/>
            <w:vAlign w:val="center"/>
          </w:tcPr>
          <w:p>
            <w:pPr>
              <w:pStyle w:val="TableContents"/>
              <w:bidi w:val="0"/>
              <w:spacing w:before="0" w:after="283"/>
              <w:jc w:val="center"/>
              <w:rPr/>
            </w:pPr>
            <w:r>
              <w:rPr/>
              <w:t> </w:t>
            </w:r>
          </w:p>
        </w:tc>
      </w:tr>
      <w:tr>
        <w:trPr/>
        <w:tc>
          <w:tcPr>
            <w:tcW w:w="3946" w:type="dxa"/>
            <w:tcBorders/>
            <w:vAlign w:val="center"/>
          </w:tcPr>
          <w:p>
            <w:pPr>
              <w:pStyle w:val="TableContents"/>
              <w:bidi w:val="0"/>
              <w:spacing w:before="0" w:after="0"/>
              <w:jc w:val="left"/>
              <w:rPr/>
            </w:pPr>
            <w:r>
              <w:rPr>
                <w:b/>
              </w:rPr>
              <w:t>Gross Profit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7" w:type="dxa"/>
            <w:tcBorders>
              <w:bottom w:val="single" w:sz="12" w:space="0" w:color="000000"/>
            </w:tcBorders>
            <w:tcMar>
              <w:bottom w:w="28" w:type="dxa"/>
            </w:tcMar>
            <w:vAlign w:val="center"/>
          </w:tcPr>
          <w:p>
            <w:pPr>
              <w:pStyle w:val="TableContents"/>
              <w:bidi w:val="0"/>
              <w:spacing w:before="0" w:after="283"/>
              <w:jc w:val="right"/>
              <w:rPr>
                <w:b/>
              </w:rPr>
            </w:pPr>
            <w:r>
              <w:rPr>
                <w:b/>
              </w:rPr>
              <w:t>129,051</w:t>
            </w:r>
          </w:p>
        </w:tc>
        <w:tc>
          <w:tcPr>
            <w:tcW w:w="3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righ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7" w:type="dxa"/>
            <w:tcBorders>
              <w:bottom w:val="single" w:sz="12" w:space="0" w:color="000000"/>
            </w:tcBorders>
            <w:tcMar>
              <w:bottom w:w="28" w:type="dxa"/>
            </w:tcMar>
            <w:vAlign w:val="center"/>
          </w:tcPr>
          <w:p>
            <w:pPr>
              <w:pStyle w:val="TableContents"/>
              <w:bidi w:val="0"/>
              <w:spacing w:before="0" w:after="283"/>
              <w:jc w:val="right"/>
              <w:rPr>
                <w:b/>
              </w:rPr>
            </w:pPr>
            <w:r>
              <w:rPr>
                <w:b/>
              </w:rPr>
              <w:t>109,098</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53" w:type="dxa"/>
            <w:tcBorders>
              <w:bottom w:val="single" w:sz="12" w:space="0" w:color="000000"/>
            </w:tcBorders>
            <w:tcMar>
              <w:bottom w:w="28" w:type="dxa"/>
            </w:tcMar>
            <w:vAlign w:val="center"/>
          </w:tcPr>
          <w:p>
            <w:pPr>
              <w:pStyle w:val="TableContents"/>
              <w:bidi w:val="0"/>
              <w:spacing w:before="0" w:after="283"/>
              <w:jc w:val="right"/>
              <w:rPr>
                <w:b/>
              </w:rPr>
            </w:pPr>
            <w:r>
              <w:rPr>
                <w:b/>
              </w:rPr>
              <w:t>173,642</w:t>
            </w:r>
          </w:p>
        </w:tc>
        <w:tc>
          <w:tcPr>
            <w:tcW w:w="2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53" w:type="dxa"/>
            <w:tcBorders>
              <w:bottom w:val="single" w:sz="12" w:space="0" w:color="000000"/>
            </w:tcBorders>
            <w:tcMar>
              <w:bottom w:w="28" w:type="dxa"/>
            </w:tcMar>
            <w:vAlign w:val="center"/>
          </w:tcPr>
          <w:p>
            <w:pPr>
              <w:pStyle w:val="TableContents"/>
              <w:bidi w:val="0"/>
              <w:spacing w:before="0" w:after="283"/>
              <w:jc w:val="right"/>
              <w:rPr>
                <w:b/>
              </w:rPr>
            </w:pPr>
            <w:r>
              <w:rPr>
                <w:b/>
              </w:rPr>
              <w:t>137,983</w:t>
            </w:r>
          </w:p>
        </w:tc>
        <w:tc>
          <w:tcPr>
            <w:tcW w:w="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946" w:type="dxa"/>
            <w:tcBorders/>
            <w:shd w:fill="CCEEFF" w:val="clear"/>
            <w:vAlign w:val="center"/>
          </w:tcPr>
          <w:p>
            <w:pPr>
              <w:pStyle w:val="TableContents"/>
              <w:bidi w:val="0"/>
              <w:spacing w:before="0" w:after="0"/>
              <w:jc w:val="left"/>
              <w:rPr/>
            </w:pPr>
            <w:r>
              <w:rPr>
                <w:i/>
              </w:rPr>
              <w:t>Gross Margin (as a percentage of revenue)</w:t>
            </w:r>
            <w:r>
              <w:rPr/>
              <w:t xml:space="preserve"> </w:t>
            </w:r>
          </w:p>
        </w:tc>
        <w:tc>
          <w:tcPr>
            <w:tcW w:w="90" w:type="dxa"/>
            <w:tcBorders/>
            <w:shd w:fill="CCEEFF" w:val="clear"/>
            <w:vAlign w:val="center"/>
          </w:tcPr>
          <w:p>
            <w:pPr>
              <w:pStyle w:val="TableContents"/>
              <w:bidi w:val="0"/>
              <w:spacing w:before="0" w:after="283"/>
              <w:jc w:val="right"/>
              <w:rPr/>
            </w:pPr>
            <w:r>
              <w:rPr/>
              <w:t> </w:t>
            </w:r>
          </w:p>
        </w:tc>
        <w:tc>
          <w:tcPr>
            <w:tcW w:w="20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i/>
              </w:rPr>
            </w:pPr>
            <w:r>
              <w:rPr>
                <w:i/>
              </w:rPr>
              <w:t>42.4</w:t>
            </w:r>
          </w:p>
        </w:tc>
        <w:tc>
          <w:tcPr>
            <w:tcW w:w="300" w:type="dxa"/>
            <w:tcBorders/>
            <w:shd w:fill="CCEEFF" w:val="clear"/>
            <w:vAlign w:val="center"/>
          </w:tcPr>
          <w:p>
            <w:pPr>
              <w:pStyle w:val="TableContents"/>
              <w:bidi w:val="0"/>
              <w:spacing w:before="0" w:after="283"/>
              <w:jc w:val="left"/>
              <w:rPr>
                <w:i/>
              </w:rPr>
            </w:pPr>
            <w:r>
              <w:rPr>
                <w:i/>
              </w:rPr>
              <w:t>%</w:t>
            </w:r>
          </w:p>
        </w:tc>
        <w:tc>
          <w:tcPr>
            <w:tcW w:w="109" w:type="dxa"/>
            <w:tcBorders/>
            <w:shd w:fill="CCEEFF" w:val="clear"/>
            <w:vAlign w:val="center"/>
          </w:tcPr>
          <w:p>
            <w:pPr>
              <w:pStyle w:val="TableContents"/>
              <w:bidi w:val="0"/>
              <w:spacing w:before="0" w:after="283"/>
              <w:jc w:val="right"/>
              <w:rPr/>
            </w:pPr>
            <w:r>
              <w:rPr/>
              <w:t> </w:t>
            </w:r>
          </w:p>
        </w:tc>
        <w:tc>
          <w:tcPr>
            <w:tcW w:w="20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i/>
              </w:rPr>
            </w:pPr>
            <w:r>
              <w:rPr>
                <w:i/>
              </w:rPr>
              <w:t>44.3</w:t>
            </w:r>
          </w:p>
        </w:tc>
        <w:tc>
          <w:tcPr>
            <w:tcW w:w="245" w:type="dxa"/>
            <w:tcBorders/>
            <w:shd w:fill="CCEEFF" w:val="clear"/>
            <w:vAlign w:val="center"/>
          </w:tcPr>
          <w:p>
            <w:pPr>
              <w:pStyle w:val="TableContents"/>
              <w:bidi w:val="0"/>
              <w:spacing w:before="0" w:after="283"/>
              <w:jc w:val="left"/>
              <w:rPr>
                <w:i/>
              </w:rPr>
            </w:pPr>
            <w:r>
              <w:rPr>
                <w:i/>
              </w:rPr>
              <w:t>%</w:t>
            </w:r>
          </w:p>
        </w:tc>
        <w:tc>
          <w:tcPr>
            <w:tcW w:w="90"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i/>
              </w:rPr>
            </w:pPr>
            <w:r>
              <w:rPr>
                <w:i/>
              </w:rPr>
              <w:t>36.6</w:t>
            </w:r>
          </w:p>
        </w:tc>
        <w:tc>
          <w:tcPr>
            <w:tcW w:w="281" w:type="dxa"/>
            <w:tcBorders/>
            <w:shd w:fill="CCEEFF" w:val="clear"/>
            <w:vAlign w:val="center"/>
          </w:tcPr>
          <w:p>
            <w:pPr>
              <w:pStyle w:val="TableContents"/>
              <w:bidi w:val="0"/>
              <w:spacing w:before="0" w:after="283"/>
              <w:jc w:val="left"/>
              <w:rPr>
                <w:i/>
              </w:rPr>
            </w:pPr>
            <w:r>
              <w:rPr>
                <w:i/>
              </w:rPr>
              <w:t>%</w:t>
            </w:r>
          </w:p>
        </w:tc>
        <w:tc>
          <w:tcPr>
            <w:tcW w:w="103"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i/>
              </w:rPr>
            </w:pPr>
            <w:r>
              <w:rPr>
                <w:i/>
              </w:rPr>
              <w:t>36.8</w:t>
            </w:r>
          </w:p>
        </w:tc>
        <w:tc>
          <w:tcPr>
            <w:tcW w:w="295" w:type="dxa"/>
            <w:tcBorders/>
            <w:shd w:fill="CCEEFF" w:val="clear"/>
            <w:vAlign w:val="center"/>
          </w:tcPr>
          <w:p>
            <w:pPr>
              <w:pStyle w:val="TableContents"/>
              <w:bidi w:val="0"/>
              <w:spacing w:before="0" w:after="283"/>
              <w:jc w:val="left"/>
              <w:rPr>
                <w:i/>
              </w:rPr>
            </w:pPr>
            <w:r>
              <w:rPr>
                <w:i/>
              </w:rPr>
              <w:t>%</w:t>
            </w:r>
          </w:p>
        </w:tc>
      </w:tr>
      <w:tr>
        <w:trPr/>
        <w:tc>
          <w:tcPr>
            <w:tcW w:w="3946" w:type="dxa"/>
            <w:tcBorders/>
            <w:vAlign w:val="center"/>
          </w:tcPr>
          <w:p>
            <w:pPr>
              <w:pStyle w:val="TableContents"/>
              <w:bidi w:val="0"/>
              <w:spacing w:before="0" w:after="0"/>
              <w:jc w:val="left"/>
              <w:rPr/>
            </w:pPr>
            <w:r>
              <w:rPr/>
              <w:t xml:space="preserve">Add: </w:t>
            </w:r>
          </w:p>
        </w:tc>
        <w:tc>
          <w:tcPr>
            <w:tcW w:w="90" w:type="dxa"/>
            <w:tcBorders/>
            <w:vAlign w:val="center"/>
          </w:tcPr>
          <w:p>
            <w:pPr>
              <w:pStyle w:val="TableContents"/>
              <w:bidi w:val="0"/>
              <w:spacing w:before="0" w:after="283"/>
              <w:jc w:val="right"/>
              <w:rPr/>
            </w:pPr>
            <w:r>
              <w:rPr/>
              <w:t> </w:t>
            </w:r>
          </w:p>
        </w:tc>
        <w:tc>
          <w:tcPr>
            <w:tcW w:w="208"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right"/>
              <w:rPr/>
            </w:pPr>
            <w:r>
              <w:rPr/>
              <w:t> </w:t>
            </w:r>
          </w:p>
        </w:tc>
        <w:tc>
          <w:tcPr>
            <w:tcW w:w="208"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right"/>
              <w:rPr/>
            </w:pPr>
            <w:r>
              <w:rPr/>
              <w:t> </w:t>
            </w:r>
          </w:p>
        </w:tc>
        <w:tc>
          <w:tcPr>
            <w:tcW w:w="953"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right"/>
              <w:rPr/>
            </w:pPr>
            <w:r>
              <w:rPr/>
              <w:t> </w:t>
            </w:r>
          </w:p>
        </w:tc>
        <w:tc>
          <w:tcPr>
            <w:tcW w:w="953" w:type="dxa"/>
            <w:tcBorders/>
            <w:vAlign w:val="center"/>
          </w:tcPr>
          <w:p>
            <w:pPr>
              <w:pStyle w:val="TableContents"/>
              <w:bidi w:val="0"/>
              <w:spacing w:before="0" w:after="283"/>
              <w:jc w:val="right"/>
              <w:rPr/>
            </w:pPr>
            <w:r>
              <w:rPr/>
              <w:t> </w:t>
            </w:r>
          </w:p>
        </w:tc>
        <w:tc>
          <w:tcPr>
            <w:tcW w:w="295" w:type="dxa"/>
            <w:tcBorders/>
            <w:vAlign w:val="center"/>
          </w:tcPr>
          <w:p>
            <w:pPr>
              <w:pStyle w:val="TableContents"/>
              <w:bidi w:val="0"/>
              <w:spacing w:before="0" w:after="283"/>
              <w:jc w:val="right"/>
              <w:rPr/>
            </w:pPr>
            <w:r>
              <w:rPr/>
              <w:t> </w:t>
            </w:r>
          </w:p>
        </w:tc>
      </w:tr>
      <w:tr>
        <w:trPr/>
        <w:tc>
          <w:tcPr>
            <w:tcW w:w="3946" w:type="dxa"/>
            <w:tcBorders/>
            <w:shd w:fill="CCEEFF" w:val="clear"/>
            <w:vAlign w:val="center"/>
          </w:tcPr>
          <w:p>
            <w:pPr>
              <w:pStyle w:val="TableContents"/>
              <w:bidi w:val="0"/>
              <w:spacing w:before="0" w:after="0"/>
              <w:jc w:val="left"/>
              <w:rPr/>
            </w:pPr>
            <w:r>
              <w:rPr/>
              <w:t xml:space="preserve">Depreciation and amortization - included in cost of revenue </w:t>
            </w:r>
          </w:p>
        </w:tc>
        <w:tc>
          <w:tcPr>
            <w:tcW w:w="90" w:type="dxa"/>
            <w:tcBorders/>
            <w:shd w:fill="CCEEFF" w:val="clear"/>
            <w:vAlign w:val="center"/>
          </w:tcPr>
          <w:p>
            <w:pPr>
              <w:pStyle w:val="TableContents"/>
              <w:bidi w:val="0"/>
              <w:spacing w:before="0" w:after="283"/>
              <w:jc w:val="right"/>
              <w:rPr/>
            </w:pPr>
            <w:r>
              <w:rPr/>
              <w:t> </w:t>
            </w:r>
          </w:p>
        </w:tc>
        <w:tc>
          <w:tcPr>
            <w:tcW w:w="20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29,035</w:t>
            </w:r>
          </w:p>
        </w:tc>
        <w:tc>
          <w:tcPr>
            <w:tcW w:w="30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right"/>
              <w:rPr/>
            </w:pPr>
            <w:r>
              <w:rPr/>
              <w:t> </w:t>
            </w:r>
          </w:p>
        </w:tc>
        <w:tc>
          <w:tcPr>
            <w:tcW w:w="20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27,586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58,466</w:t>
            </w:r>
          </w:p>
        </w:tc>
        <w:tc>
          <w:tcPr>
            <w:tcW w:w="2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55,066</w:t>
            </w:r>
          </w:p>
        </w:tc>
        <w:tc>
          <w:tcPr>
            <w:tcW w:w="295" w:type="dxa"/>
            <w:tcBorders/>
            <w:shd w:fill="CCEEFF" w:val="clear"/>
            <w:vAlign w:val="center"/>
          </w:tcPr>
          <w:p>
            <w:pPr>
              <w:pStyle w:val="TableContents"/>
              <w:bidi w:val="0"/>
              <w:spacing w:before="0" w:after="283"/>
              <w:jc w:val="left"/>
              <w:rPr/>
            </w:pPr>
            <w:r>
              <w:rPr/>
              <w:t> </w:t>
            </w:r>
          </w:p>
        </w:tc>
      </w:tr>
      <w:tr>
        <w:trPr/>
        <w:tc>
          <w:tcPr>
            <w:tcW w:w="3946" w:type="dxa"/>
            <w:tcBorders/>
            <w:vAlign w:val="center"/>
          </w:tcPr>
          <w:p>
            <w:pPr>
              <w:pStyle w:val="TableContents"/>
              <w:bidi w:val="0"/>
              <w:spacing w:before="0" w:after="0"/>
              <w:jc w:val="left"/>
              <w:rPr/>
            </w:pPr>
            <w:r>
              <w:rPr/>
              <w:t xml:space="preserve">Loss on vehicle asset disposals </w:t>
            </w:r>
          </w:p>
        </w:tc>
        <w:tc>
          <w:tcPr>
            <w:tcW w:w="90" w:type="dxa"/>
            <w:tcBorders/>
            <w:vAlign w:val="center"/>
          </w:tcPr>
          <w:p>
            <w:pPr>
              <w:pStyle w:val="TableContents"/>
              <w:bidi w:val="0"/>
              <w:spacing w:before="0" w:after="283"/>
              <w:jc w:val="righ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283"/>
              <w:jc w:val="right"/>
              <w:rPr/>
            </w:pPr>
            <w:r>
              <w:rPr/>
              <w:t>361</w:t>
            </w:r>
          </w:p>
        </w:tc>
        <w:tc>
          <w:tcPr>
            <w:tcW w:w="3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righ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283"/>
              <w:jc w:val="right"/>
              <w:rPr/>
            </w:pPr>
            <w:r>
              <w:rPr/>
              <w:t>310</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tcMar>
              <w:bottom w:w="28" w:type="dxa"/>
            </w:tcMar>
            <w:vAlign w:val="center"/>
          </w:tcPr>
          <w:p>
            <w:pPr>
              <w:pStyle w:val="TableContents"/>
              <w:bidi w:val="0"/>
              <w:spacing w:before="0" w:after="283"/>
              <w:jc w:val="right"/>
              <w:rPr/>
            </w:pPr>
            <w:r>
              <w:rPr/>
              <w:t>542</w:t>
            </w:r>
          </w:p>
        </w:tc>
        <w:tc>
          <w:tcPr>
            <w:tcW w:w="2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righ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tcMar>
              <w:bottom w:w="28" w:type="dxa"/>
            </w:tcMar>
            <w:vAlign w:val="center"/>
          </w:tcPr>
          <w:p>
            <w:pPr>
              <w:pStyle w:val="TableContents"/>
              <w:bidi w:val="0"/>
              <w:spacing w:before="0" w:after="283"/>
              <w:jc w:val="right"/>
              <w:rPr/>
            </w:pPr>
            <w:r>
              <w:rPr/>
              <w:t>415</w:t>
            </w:r>
          </w:p>
        </w:tc>
        <w:tc>
          <w:tcPr>
            <w:tcW w:w="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946" w:type="dxa"/>
            <w:tcBorders/>
            <w:shd w:fill="CCEEFF" w:val="clear"/>
            <w:vAlign w:val="center"/>
          </w:tcPr>
          <w:p>
            <w:pPr>
              <w:pStyle w:val="TableContents"/>
              <w:bidi w:val="0"/>
              <w:spacing w:before="0" w:after="0"/>
              <w:jc w:val="left"/>
              <w:rPr/>
            </w:pPr>
            <w:r>
              <w:rPr>
                <w:b/>
              </w:rPr>
              <w:t>Adjusted Gross Profit</w:t>
            </w:r>
            <w:r>
              <w:rPr/>
              <w:t xml:space="preserve"> </w:t>
            </w:r>
          </w:p>
        </w:tc>
        <w:tc>
          <w:tcPr>
            <w:tcW w:w="90" w:type="dxa"/>
            <w:tcBorders/>
            <w:shd w:fill="CCEEFF" w:val="clear"/>
            <w:vAlign w:val="center"/>
          </w:tcPr>
          <w:p>
            <w:pPr>
              <w:pStyle w:val="TableContents"/>
              <w:bidi w:val="0"/>
              <w:spacing w:before="0" w:after="283"/>
              <w:jc w:val="right"/>
              <w:rPr/>
            </w:pPr>
            <w:r>
              <w:rPr/>
              <w:t> </w:t>
            </w:r>
          </w:p>
        </w:tc>
        <w:tc>
          <w:tcPr>
            <w:tcW w:w="208"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158,447</w:t>
            </w:r>
          </w:p>
        </w:tc>
        <w:tc>
          <w:tcPr>
            <w:tcW w:w="30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right"/>
              <w:rPr/>
            </w:pPr>
            <w:r>
              <w:rPr/>
              <w:t> </w:t>
            </w:r>
          </w:p>
        </w:tc>
        <w:tc>
          <w:tcPr>
            <w:tcW w:w="208"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136,994</w:t>
            </w:r>
          </w:p>
        </w:tc>
        <w:tc>
          <w:tcPr>
            <w:tcW w:w="24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53"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232,650</w:t>
            </w:r>
          </w:p>
        </w:tc>
        <w:tc>
          <w:tcPr>
            <w:tcW w:w="28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right"/>
              <w:rPr/>
            </w:pPr>
            <w:r>
              <w:rPr/>
              <w:t> </w:t>
            </w:r>
          </w:p>
        </w:tc>
        <w:tc>
          <w:tcPr>
            <w:tcW w:w="19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53"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193,464</w:t>
            </w:r>
          </w:p>
        </w:tc>
        <w:tc>
          <w:tcPr>
            <w:tcW w:w="29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946" w:type="dxa"/>
            <w:tcBorders/>
            <w:vAlign w:val="center"/>
          </w:tcPr>
          <w:p>
            <w:pPr>
              <w:pStyle w:val="TableContents"/>
              <w:bidi w:val="0"/>
              <w:spacing w:before="0" w:after="0"/>
              <w:jc w:val="left"/>
              <w:rPr/>
            </w:pPr>
            <w:r>
              <w:rPr>
                <w:i/>
              </w:rPr>
              <w:t>Adjusted Gross Margin (as a percentage of revenue)</w:t>
            </w:r>
            <w:r>
              <w:rPr/>
              <w:t xml:space="preserve"> </w:t>
            </w:r>
          </w:p>
        </w:tc>
        <w:tc>
          <w:tcPr>
            <w:tcW w:w="90" w:type="dxa"/>
            <w:tcBorders/>
            <w:vAlign w:val="center"/>
          </w:tcPr>
          <w:p>
            <w:pPr>
              <w:pStyle w:val="TableContents"/>
              <w:bidi w:val="0"/>
              <w:spacing w:before="0" w:after="283"/>
              <w:jc w:val="right"/>
              <w:rPr/>
            </w:pPr>
            <w:r>
              <w:rPr/>
              <w:t> </w:t>
            </w:r>
          </w:p>
        </w:tc>
        <w:tc>
          <w:tcPr>
            <w:tcW w:w="208" w:type="dxa"/>
            <w:tcBorders>
              <w:top w:val="single" w:sz="12" w:space="0" w:color="000000"/>
            </w:tcBorders>
            <w:tcMar>
              <w:top w:w="28" w:type="dxa"/>
            </w:tcMar>
            <w:vAlign w:val="center"/>
          </w:tcPr>
          <w:p>
            <w:pPr>
              <w:pStyle w:val="TableContents"/>
              <w:bidi w:val="0"/>
              <w:spacing w:before="0" w:after="283"/>
              <w:jc w:val="left"/>
              <w:rPr/>
            </w:pPr>
            <w:r>
              <w:rPr/>
              <w:t> </w:t>
            </w:r>
          </w:p>
        </w:tc>
        <w:tc>
          <w:tcPr>
            <w:tcW w:w="1017" w:type="dxa"/>
            <w:tcBorders>
              <w:top w:val="single" w:sz="12" w:space="0" w:color="000000"/>
            </w:tcBorders>
            <w:tcMar>
              <w:top w:w="28" w:type="dxa"/>
            </w:tcMar>
            <w:vAlign w:val="center"/>
          </w:tcPr>
          <w:p>
            <w:pPr>
              <w:pStyle w:val="TableContents"/>
              <w:bidi w:val="0"/>
              <w:spacing w:before="0" w:after="283"/>
              <w:jc w:val="right"/>
              <w:rPr>
                <w:i/>
              </w:rPr>
            </w:pPr>
            <w:r>
              <w:rPr>
                <w:i/>
              </w:rPr>
              <w:t>52.1</w:t>
            </w:r>
          </w:p>
        </w:tc>
        <w:tc>
          <w:tcPr>
            <w:tcW w:w="300" w:type="dxa"/>
            <w:tcBorders>
              <w:top w:val="single" w:sz="12" w:space="0" w:color="000000"/>
            </w:tcBorders>
            <w:tcMar>
              <w:top w:w="28" w:type="dxa"/>
            </w:tcMar>
            <w:vAlign w:val="center"/>
          </w:tcPr>
          <w:p>
            <w:pPr>
              <w:pStyle w:val="TableContents"/>
              <w:bidi w:val="0"/>
              <w:spacing w:before="0" w:after="283"/>
              <w:jc w:val="left"/>
              <w:rPr>
                <w:i/>
              </w:rPr>
            </w:pPr>
            <w:r>
              <w:rPr>
                <w:i/>
              </w:rPr>
              <w:t>%</w:t>
            </w:r>
          </w:p>
        </w:tc>
        <w:tc>
          <w:tcPr>
            <w:tcW w:w="109" w:type="dxa"/>
            <w:tcBorders/>
            <w:vAlign w:val="center"/>
          </w:tcPr>
          <w:p>
            <w:pPr>
              <w:pStyle w:val="TableContents"/>
              <w:bidi w:val="0"/>
              <w:spacing w:before="0" w:after="283"/>
              <w:jc w:val="right"/>
              <w:rPr/>
            </w:pPr>
            <w:r>
              <w:rPr/>
              <w:t> </w:t>
            </w:r>
          </w:p>
        </w:tc>
        <w:tc>
          <w:tcPr>
            <w:tcW w:w="208" w:type="dxa"/>
            <w:tcBorders>
              <w:top w:val="single" w:sz="12" w:space="0" w:color="000000"/>
            </w:tcBorders>
            <w:tcMar>
              <w:top w:w="28" w:type="dxa"/>
            </w:tcMar>
            <w:vAlign w:val="center"/>
          </w:tcPr>
          <w:p>
            <w:pPr>
              <w:pStyle w:val="TableContents"/>
              <w:bidi w:val="0"/>
              <w:spacing w:before="0" w:after="283"/>
              <w:jc w:val="left"/>
              <w:rPr/>
            </w:pPr>
            <w:r>
              <w:rPr/>
              <w:t> </w:t>
            </w:r>
          </w:p>
        </w:tc>
        <w:tc>
          <w:tcPr>
            <w:tcW w:w="1017" w:type="dxa"/>
            <w:tcBorders>
              <w:top w:val="single" w:sz="12" w:space="0" w:color="000000"/>
            </w:tcBorders>
            <w:tcMar>
              <w:top w:w="28" w:type="dxa"/>
            </w:tcMar>
            <w:vAlign w:val="center"/>
          </w:tcPr>
          <w:p>
            <w:pPr>
              <w:pStyle w:val="TableContents"/>
              <w:bidi w:val="0"/>
              <w:spacing w:before="0" w:after="283"/>
              <w:jc w:val="right"/>
              <w:rPr>
                <w:i/>
              </w:rPr>
            </w:pPr>
            <w:r>
              <w:rPr>
                <w:i/>
              </w:rPr>
              <w:t>55.7</w:t>
            </w:r>
          </w:p>
        </w:tc>
        <w:tc>
          <w:tcPr>
            <w:tcW w:w="245" w:type="dxa"/>
            <w:tcBorders>
              <w:top w:val="single" w:sz="12" w:space="0" w:color="000000"/>
            </w:tcBorders>
            <w:tcMar>
              <w:top w:w="28" w:type="dxa"/>
            </w:tcMar>
            <w:vAlign w:val="center"/>
          </w:tcPr>
          <w:p>
            <w:pPr>
              <w:pStyle w:val="TableContents"/>
              <w:bidi w:val="0"/>
              <w:spacing w:before="0" w:after="283"/>
              <w:jc w:val="left"/>
              <w:rPr>
                <w:i/>
              </w:rPr>
            </w:pPr>
            <w:r>
              <w:rPr>
                <w:i/>
              </w:rPr>
              <w:t>%</w:t>
            </w:r>
          </w:p>
        </w:tc>
        <w:tc>
          <w:tcPr>
            <w:tcW w:w="90" w:type="dxa"/>
            <w:tcBorders/>
            <w:vAlign w:val="center"/>
          </w:tcPr>
          <w:p>
            <w:pPr>
              <w:pStyle w:val="TableContents"/>
              <w:bidi w:val="0"/>
              <w:spacing w:before="0" w:after="283"/>
              <w:jc w:val="right"/>
              <w:rPr/>
            </w:pPr>
            <w:r>
              <w:rPr/>
              <w:t> </w:t>
            </w:r>
          </w:p>
        </w:tc>
        <w:tc>
          <w:tcPr>
            <w:tcW w:w="195" w:type="dxa"/>
            <w:tcBorders>
              <w:top w:val="single" w:sz="12" w:space="0" w:color="000000"/>
            </w:tcBorders>
            <w:tcMar>
              <w:top w:w="28" w:type="dxa"/>
            </w:tcMar>
            <w:vAlign w:val="center"/>
          </w:tcPr>
          <w:p>
            <w:pPr>
              <w:pStyle w:val="TableContents"/>
              <w:bidi w:val="0"/>
              <w:spacing w:before="0" w:after="283"/>
              <w:jc w:val="left"/>
              <w:rPr/>
            </w:pPr>
            <w:r>
              <w:rPr/>
              <w:t> </w:t>
            </w:r>
          </w:p>
        </w:tc>
        <w:tc>
          <w:tcPr>
            <w:tcW w:w="953" w:type="dxa"/>
            <w:tcBorders>
              <w:top w:val="single" w:sz="12" w:space="0" w:color="000000"/>
            </w:tcBorders>
            <w:tcMar>
              <w:top w:w="28" w:type="dxa"/>
            </w:tcMar>
            <w:vAlign w:val="center"/>
          </w:tcPr>
          <w:p>
            <w:pPr>
              <w:pStyle w:val="TableContents"/>
              <w:bidi w:val="0"/>
              <w:spacing w:before="0" w:after="283"/>
              <w:jc w:val="right"/>
              <w:rPr>
                <w:i/>
              </w:rPr>
            </w:pPr>
            <w:r>
              <w:rPr>
                <w:i/>
              </w:rPr>
              <w:t>49.0</w:t>
            </w:r>
          </w:p>
        </w:tc>
        <w:tc>
          <w:tcPr>
            <w:tcW w:w="281" w:type="dxa"/>
            <w:tcBorders>
              <w:top w:val="single" w:sz="12" w:space="0" w:color="000000"/>
            </w:tcBorders>
            <w:tcMar>
              <w:top w:w="28" w:type="dxa"/>
            </w:tcMar>
            <w:vAlign w:val="center"/>
          </w:tcPr>
          <w:p>
            <w:pPr>
              <w:pStyle w:val="TableContents"/>
              <w:bidi w:val="0"/>
              <w:spacing w:before="0" w:after="283"/>
              <w:jc w:val="left"/>
              <w:rPr>
                <w:i/>
              </w:rPr>
            </w:pPr>
            <w:r>
              <w:rPr>
                <w:i/>
              </w:rPr>
              <w:t>%</w:t>
            </w:r>
          </w:p>
        </w:tc>
        <w:tc>
          <w:tcPr>
            <w:tcW w:w="103" w:type="dxa"/>
            <w:tcBorders/>
            <w:vAlign w:val="center"/>
          </w:tcPr>
          <w:p>
            <w:pPr>
              <w:pStyle w:val="TableContents"/>
              <w:bidi w:val="0"/>
              <w:spacing w:before="0" w:after="283"/>
              <w:jc w:val="right"/>
              <w:rPr/>
            </w:pPr>
            <w:r>
              <w:rPr/>
              <w:t> </w:t>
            </w:r>
          </w:p>
        </w:tc>
        <w:tc>
          <w:tcPr>
            <w:tcW w:w="195" w:type="dxa"/>
            <w:tcBorders>
              <w:top w:val="single" w:sz="12" w:space="0" w:color="000000"/>
            </w:tcBorders>
            <w:tcMar>
              <w:top w:w="28" w:type="dxa"/>
            </w:tcMar>
            <w:vAlign w:val="center"/>
          </w:tcPr>
          <w:p>
            <w:pPr>
              <w:pStyle w:val="TableContents"/>
              <w:bidi w:val="0"/>
              <w:spacing w:before="0" w:after="283"/>
              <w:jc w:val="left"/>
              <w:rPr/>
            </w:pPr>
            <w:r>
              <w:rPr/>
              <w:t> </w:t>
            </w:r>
          </w:p>
        </w:tc>
        <w:tc>
          <w:tcPr>
            <w:tcW w:w="953" w:type="dxa"/>
            <w:tcBorders>
              <w:top w:val="single" w:sz="12" w:space="0" w:color="000000"/>
            </w:tcBorders>
            <w:tcMar>
              <w:top w:w="28" w:type="dxa"/>
            </w:tcMar>
            <w:vAlign w:val="center"/>
          </w:tcPr>
          <w:p>
            <w:pPr>
              <w:pStyle w:val="TableContents"/>
              <w:bidi w:val="0"/>
              <w:spacing w:before="0" w:after="283"/>
              <w:jc w:val="right"/>
              <w:rPr>
                <w:i/>
              </w:rPr>
            </w:pPr>
            <w:r>
              <w:rPr>
                <w:i/>
              </w:rPr>
              <w:t>51.6</w:t>
            </w:r>
          </w:p>
        </w:tc>
        <w:tc>
          <w:tcPr>
            <w:tcW w:w="295" w:type="dxa"/>
            <w:tcBorders>
              <w:top w:val="single" w:sz="12" w:space="0" w:color="000000"/>
            </w:tcBorders>
            <w:tcMar>
              <w:top w:w="28" w:type="dxa"/>
            </w:tcMar>
            <w:vAlign w:val="center"/>
          </w:tcPr>
          <w:p>
            <w:pPr>
              <w:pStyle w:val="TableContents"/>
              <w:bidi w:val="0"/>
              <w:spacing w:before="0" w:after="283"/>
              <w:jc w:val="left"/>
              <w:rPr>
                <w:i/>
              </w:rPr>
            </w:pPr>
            <w:r>
              <w:rPr>
                <w:i/>
              </w:rPr>
              <w:t>%</w:t>
            </w:r>
          </w:p>
        </w:tc>
      </w:tr>
    </w:tbl>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Adjusted EBITDA:</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22"/>
        <w:gridCol w:w="90"/>
        <w:gridCol w:w="238"/>
        <w:gridCol w:w="1268"/>
        <w:gridCol w:w="258"/>
        <w:gridCol w:w="125"/>
        <w:gridCol w:w="238"/>
        <w:gridCol w:w="995"/>
        <w:gridCol w:w="90"/>
        <w:gridCol w:w="90"/>
        <w:gridCol w:w="210"/>
        <w:gridCol w:w="1122"/>
        <w:gridCol w:w="228"/>
        <w:gridCol w:w="110"/>
        <w:gridCol w:w="210"/>
        <w:gridCol w:w="973"/>
        <w:gridCol w:w="238"/>
      </w:tblGrid>
      <w:tr>
        <w:trPr/>
        <w:tc>
          <w:tcPr>
            <w:tcW w:w="37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r>
      <w:tr>
        <w:trPr/>
        <w:tc>
          <w:tcPr>
            <w:tcW w:w="3722" w:type="dxa"/>
            <w:vMerge w:val="restart"/>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3122"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June 30,</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2853"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238" w:type="dxa"/>
            <w:tcBorders/>
            <w:vAlign w:val="center"/>
          </w:tcPr>
          <w:p>
            <w:pPr>
              <w:pStyle w:val="TableContents"/>
              <w:bidi w:val="0"/>
              <w:spacing w:before="0" w:after="283"/>
              <w:jc w:val="center"/>
              <w:rPr/>
            </w:pPr>
            <w:r>
              <w:rPr/>
              <w:t> </w:t>
            </w:r>
          </w:p>
        </w:tc>
      </w:tr>
      <w:tr>
        <w:trPr/>
        <w:tc>
          <w:tcPr>
            <w:tcW w:w="3722" w:type="dxa"/>
            <w:vMerge w:val="continue"/>
            <w:tcBorders/>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238"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68"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58" w:type="dxa"/>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238"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5"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22"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2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2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73"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8" w:type="dxa"/>
            <w:tcBorders/>
            <w:vAlign w:val="center"/>
          </w:tcPr>
          <w:p>
            <w:pPr>
              <w:pStyle w:val="TableContents"/>
              <w:bidi w:val="0"/>
              <w:spacing w:before="0" w:after="283"/>
              <w:jc w:val="center"/>
              <w:rPr/>
            </w:pPr>
            <w:r>
              <w:rPr/>
              <w:t> </w:t>
            </w:r>
          </w:p>
        </w:tc>
      </w:tr>
      <w:tr>
        <w:trPr/>
        <w:tc>
          <w:tcPr>
            <w:tcW w:w="3722" w:type="dxa"/>
            <w:tcBorders/>
            <w:vAlign w:val="center"/>
          </w:tcPr>
          <w:p>
            <w:pPr>
              <w:pStyle w:val="TableContents"/>
              <w:bidi w:val="0"/>
              <w:spacing w:before="0" w:after="0"/>
              <w:jc w:val="left"/>
              <w:rPr/>
            </w:pPr>
            <w:r>
              <w:rPr/>
              <w:t xml:space="preserve">Net income (loss)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w:t>
            </w:r>
          </w:p>
        </w:tc>
        <w:tc>
          <w:tcPr>
            <w:tcW w:w="1268" w:type="dxa"/>
            <w:tcBorders>
              <w:bottom w:val="single" w:sz="12" w:space="0" w:color="000000"/>
            </w:tcBorders>
            <w:tcMar>
              <w:bottom w:w="28" w:type="dxa"/>
            </w:tcMar>
            <w:vAlign w:val="center"/>
          </w:tcPr>
          <w:p>
            <w:pPr>
              <w:pStyle w:val="TableContents"/>
              <w:bidi w:val="0"/>
              <w:spacing w:before="0" w:after="283"/>
              <w:jc w:val="right"/>
              <w:rPr/>
            </w:pPr>
            <w:r>
              <w:rPr/>
              <w:t>295,379</w:t>
            </w:r>
          </w:p>
        </w:tc>
        <w:tc>
          <w:tcPr>
            <w:tcW w:w="2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w:t>
            </w:r>
          </w:p>
        </w:tc>
        <w:tc>
          <w:tcPr>
            <w:tcW w:w="995" w:type="dxa"/>
            <w:tcBorders>
              <w:bottom w:val="single" w:sz="12" w:space="0" w:color="000000"/>
            </w:tcBorders>
            <w:tcMar>
              <w:bottom w:w="28" w:type="dxa"/>
            </w:tcMar>
            <w:vAlign w:val="center"/>
          </w:tcPr>
          <w:p>
            <w:pPr>
              <w:pStyle w:val="TableContents"/>
              <w:bidi w:val="0"/>
              <w:spacing w:before="0" w:after="283"/>
              <w:jc w:val="right"/>
              <w:rPr/>
            </w:pPr>
            <w:r>
              <w:rPr/>
              <w:t>20,505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234,093</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w:t>
            </w:r>
          </w:p>
        </w:tc>
        <w:tc>
          <w:tcPr>
            <w:tcW w:w="973" w:type="dxa"/>
            <w:tcBorders>
              <w:bottom w:val="single" w:sz="12" w:space="0" w:color="000000"/>
            </w:tcBorders>
            <w:tcMar>
              <w:bottom w:w="28" w:type="dxa"/>
            </w:tcMar>
            <w:vAlign w:val="center"/>
          </w:tcPr>
          <w:p>
            <w:pPr>
              <w:pStyle w:val="TableContents"/>
              <w:bidi w:val="0"/>
              <w:spacing w:before="0" w:after="283"/>
              <w:jc w:val="right"/>
              <w:rPr/>
            </w:pPr>
            <w:r>
              <w:rPr/>
              <w:t>(35,459</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22" w:type="dxa"/>
            <w:tcBorders/>
            <w:shd w:fill="CCEEFF" w:val="clear"/>
            <w:vAlign w:val="center"/>
          </w:tcPr>
          <w:p>
            <w:pPr>
              <w:pStyle w:val="TableContents"/>
              <w:bidi w:val="0"/>
              <w:spacing w:before="0" w:after="0"/>
              <w:jc w:val="left"/>
              <w:rPr/>
            </w:pPr>
            <w:r>
              <w:rPr/>
              <w:t xml:space="preserve">Adjusted to exclude the following: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right"/>
              <w:rPr/>
            </w:pPr>
            <w:r>
              <w:rPr/>
              <w:t> </w:t>
            </w:r>
          </w:p>
        </w:tc>
        <w:tc>
          <w:tcPr>
            <w:tcW w:w="1268" w:type="dxa"/>
            <w:tcBorders/>
            <w:shd w:fill="CCEEFF" w:val="clear"/>
            <w:vAlign w:val="center"/>
          </w:tcPr>
          <w:p>
            <w:pPr>
              <w:pStyle w:val="TableContents"/>
              <w:bidi w:val="0"/>
              <w:spacing w:before="0" w:after="283"/>
              <w:jc w:val="right"/>
              <w:rPr/>
            </w:pPr>
            <w:r>
              <w:rPr/>
              <w:t> </w:t>
            </w:r>
          </w:p>
        </w:tc>
        <w:tc>
          <w:tcPr>
            <w:tcW w:w="2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right"/>
              <w:rPr/>
            </w:pPr>
            <w:r>
              <w:rPr/>
              <w:t> </w:t>
            </w:r>
          </w:p>
        </w:tc>
        <w:tc>
          <w:tcPr>
            <w:tcW w:w="9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right"/>
              <w:rPr/>
            </w:pPr>
            <w:r>
              <w:rPr/>
              <w:t> </w:t>
            </w:r>
          </w:p>
        </w:tc>
        <w:tc>
          <w:tcPr>
            <w:tcW w:w="1122"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right"/>
              <w:rPr/>
            </w:pPr>
            <w:r>
              <w:rPr/>
              <w:t> </w:t>
            </w:r>
          </w:p>
        </w:tc>
        <w:tc>
          <w:tcPr>
            <w:tcW w:w="973"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right"/>
              <w:rPr/>
            </w:pPr>
            <w:r>
              <w:rPr/>
              <w:t> </w:t>
            </w:r>
          </w:p>
        </w:tc>
      </w:tr>
      <w:tr>
        <w:trPr/>
        <w:tc>
          <w:tcPr>
            <w:tcW w:w="3722" w:type="dxa"/>
            <w:tcBorders/>
            <w:vAlign w:val="center"/>
          </w:tcPr>
          <w:p>
            <w:pPr>
              <w:pStyle w:val="TableContents"/>
              <w:bidi w:val="0"/>
              <w:spacing w:before="0" w:after="0"/>
              <w:jc w:val="left"/>
              <w:rPr/>
            </w:pPr>
            <w:r>
              <w:rPr/>
              <w:t xml:space="preserve">Interest expense </w:t>
            </w:r>
          </w:p>
        </w:tc>
        <w:tc>
          <w:tcPr>
            <w:tcW w:w="90"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3,961</w:t>
            </w:r>
          </w:p>
        </w:tc>
        <w:tc>
          <w:tcPr>
            <w:tcW w:w="25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5,155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9,120</w:t>
            </w:r>
          </w:p>
        </w:tc>
        <w:tc>
          <w:tcPr>
            <w:tcW w:w="228"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10,278</w:t>
            </w:r>
          </w:p>
        </w:tc>
        <w:tc>
          <w:tcPr>
            <w:tcW w:w="238" w:type="dxa"/>
            <w:tcBorders/>
            <w:vAlign w:val="center"/>
          </w:tcPr>
          <w:p>
            <w:pPr>
              <w:pStyle w:val="TableContents"/>
              <w:bidi w:val="0"/>
              <w:spacing w:before="0" w:after="283"/>
              <w:jc w:val="left"/>
              <w:rPr/>
            </w:pPr>
            <w:r>
              <w:rPr/>
              <w:t> </w:t>
            </w:r>
          </w:p>
        </w:tc>
      </w:tr>
      <w:tr>
        <w:trPr/>
        <w:tc>
          <w:tcPr>
            <w:tcW w:w="3722" w:type="dxa"/>
            <w:tcBorders/>
            <w:shd w:fill="CCEEFF" w:val="clear"/>
            <w:vAlign w:val="center"/>
          </w:tcPr>
          <w:p>
            <w:pPr>
              <w:pStyle w:val="TableContents"/>
              <w:bidi w:val="0"/>
              <w:spacing w:before="0" w:after="0"/>
              <w:jc w:val="left"/>
              <w:rPr/>
            </w:pPr>
            <w:r>
              <w:rPr/>
              <w:t>Provision for income taxes (1)</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(298,433</w:t>
            </w:r>
          </w:p>
        </w:tc>
        <w:tc>
          <w:tcPr>
            <w:tcW w:w="258"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3,352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(296,577</w:t>
            </w:r>
          </w:p>
        </w:tc>
        <w:tc>
          <w:tcPr>
            <w:tcW w:w="228"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5,689</w:t>
            </w:r>
          </w:p>
        </w:tc>
        <w:tc>
          <w:tcPr>
            <w:tcW w:w="238" w:type="dxa"/>
            <w:tcBorders/>
            <w:shd w:fill="CCEEFF" w:val="clear"/>
            <w:vAlign w:val="center"/>
          </w:tcPr>
          <w:p>
            <w:pPr>
              <w:pStyle w:val="TableContents"/>
              <w:bidi w:val="0"/>
              <w:spacing w:before="0" w:after="283"/>
              <w:jc w:val="left"/>
              <w:rPr/>
            </w:pPr>
            <w:r>
              <w:rPr/>
              <w:t> </w:t>
            </w:r>
          </w:p>
        </w:tc>
      </w:tr>
      <w:tr>
        <w:trPr/>
        <w:tc>
          <w:tcPr>
            <w:tcW w:w="3722" w:type="dxa"/>
            <w:tcBorders/>
            <w:vAlign w:val="center"/>
          </w:tcPr>
          <w:p>
            <w:pPr>
              <w:pStyle w:val="TableContents"/>
              <w:bidi w:val="0"/>
              <w:spacing w:before="0" w:after="0"/>
              <w:jc w:val="left"/>
              <w:rPr/>
            </w:pPr>
            <w:r>
              <w:rPr/>
              <w:t>Depreciation and amortization (2)</w:t>
            </w:r>
          </w:p>
        </w:tc>
        <w:tc>
          <w:tcPr>
            <w:tcW w:w="90"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30,383</w:t>
            </w:r>
          </w:p>
        </w:tc>
        <w:tc>
          <w:tcPr>
            <w:tcW w:w="25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29,353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61,319</w:t>
            </w:r>
          </w:p>
        </w:tc>
        <w:tc>
          <w:tcPr>
            <w:tcW w:w="228"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58,671</w:t>
            </w:r>
          </w:p>
        </w:tc>
        <w:tc>
          <w:tcPr>
            <w:tcW w:w="238" w:type="dxa"/>
            <w:tcBorders/>
            <w:vAlign w:val="center"/>
          </w:tcPr>
          <w:p>
            <w:pPr>
              <w:pStyle w:val="TableContents"/>
              <w:bidi w:val="0"/>
              <w:spacing w:before="0" w:after="283"/>
              <w:jc w:val="left"/>
              <w:rPr/>
            </w:pPr>
            <w:r>
              <w:rPr/>
              <w:t> </w:t>
            </w:r>
          </w:p>
        </w:tc>
      </w:tr>
      <w:tr>
        <w:trPr/>
        <w:tc>
          <w:tcPr>
            <w:tcW w:w="3722" w:type="dxa"/>
            <w:tcBorders/>
            <w:shd w:fill="CCEEFF" w:val="clear"/>
            <w:vAlign w:val="center"/>
          </w:tcPr>
          <w:p>
            <w:pPr>
              <w:pStyle w:val="TableContents"/>
              <w:bidi w:val="0"/>
              <w:spacing w:before="0" w:after="0"/>
              <w:jc w:val="left"/>
              <w:rPr/>
            </w:pPr>
            <w:r>
              <w:rPr/>
              <w:t xml:space="preserve">Stock-based compensation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38,079</w:t>
            </w:r>
          </w:p>
        </w:tc>
        <w:tc>
          <w:tcPr>
            <w:tcW w:w="258"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2,969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40,721</w:t>
            </w:r>
          </w:p>
        </w:tc>
        <w:tc>
          <w:tcPr>
            <w:tcW w:w="228"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6,121</w:t>
            </w:r>
          </w:p>
        </w:tc>
        <w:tc>
          <w:tcPr>
            <w:tcW w:w="238" w:type="dxa"/>
            <w:tcBorders/>
            <w:shd w:fill="CCEEFF" w:val="clear"/>
            <w:vAlign w:val="center"/>
          </w:tcPr>
          <w:p>
            <w:pPr>
              <w:pStyle w:val="TableContents"/>
              <w:bidi w:val="0"/>
              <w:spacing w:before="0" w:after="283"/>
              <w:jc w:val="left"/>
              <w:rPr/>
            </w:pPr>
            <w:r>
              <w:rPr/>
              <w:t> </w:t>
            </w:r>
          </w:p>
        </w:tc>
      </w:tr>
      <w:tr>
        <w:trPr/>
        <w:tc>
          <w:tcPr>
            <w:tcW w:w="3722" w:type="dxa"/>
            <w:tcBorders/>
            <w:vAlign w:val="center"/>
          </w:tcPr>
          <w:p>
            <w:pPr>
              <w:pStyle w:val="TableContents"/>
              <w:bidi w:val="0"/>
              <w:spacing w:before="0" w:after="0"/>
              <w:jc w:val="left"/>
              <w:rPr/>
            </w:pPr>
            <w:r>
              <w:rPr/>
              <w:t xml:space="preserve">Other expense, net </w:t>
            </w:r>
          </w:p>
        </w:tc>
        <w:tc>
          <w:tcPr>
            <w:tcW w:w="90"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11,903</w:t>
            </w:r>
          </w:p>
        </w:tc>
        <w:tc>
          <w:tcPr>
            <w:tcW w:w="25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12,530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37,142</w:t>
            </w:r>
          </w:p>
        </w:tc>
        <w:tc>
          <w:tcPr>
            <w:tcW w:w="228"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29,612</w:t>
            </w:r>
          </w:p>
        </w:tc>
        <w:tc>
          <w:tcPr>
            <w:tcW w:w="238" w:type="dxa"/>
            <w:tcBorders/>
            <w:vAlign w:val="center"/>
          </w:tcPr>
          <w:p>
            <w:pPr>
              <w:pStyle w:val="TableContents"/>
              <w:bidi w:val="0"/>
              <w:spacing w:before="0" w:after="283"/>
              <w:jc w:val="left"/>
              <w:rPr/>
            </w:pPr>
            <w:r>
              <w:rPr/>
              <w:t> </w:t>
            </w:r>
          </w:p>
        </w:tc>
      </w:tr>
      <w:tr>
        <w:trPr/>
        <w:tc>
          <w:tcPr>
            <w:tcW w:w="3722" w:type="dxa"/>
            <w:tcBorders/>
            <w:shd w:fill="CCEEFF" w:val="clear"/>
            <w:vAlign w:val="center"/>
          </w:tcPr>
          <w:p>
            <w:pPr>
              <w:pStyle w:val="TableContents"/>
              <w:bidi w:val="0"/>
              <w:spacing w:before="0" w:after="0"/>
              <w:jc w:val="left"/>
              <w:rPr/>
            </w:pPr>
            <w:r>
              <w:rPr/>
              <w:t xml:space="preserve">Loss on vehicle asset disposals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361</w:t>
            </w:r>
          </w:p>
        </w:tc>
        <w:tc>
          <w:tcPr>
            <w:tcW w:w="258"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542</w:t>
            </w:r>
          </w:p>
        </w:tc>
        <w:tc>
          <w:tcPr>
            <w:tcW w:w="228"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415</w:t>
            </w:r>
          </w:p>
        </w:tc>
        <w:tc>
          <w:tcPr>
            <w:tcW w:w="238" w:type="dxa"/>
            <w:tcBorders/>
            <w:shd w:fill="CCEEFF" w:val="clear"/>
            <w:vAlign w:val="center"/>
          </w:tcPr>
          <w:p>
            <w:pPr>
              <w:pStyle w:val="TableContents"/>
              <w:bidi w:val="0"/>
              <w:spacing w:before="0" w:after="283"/>
              <w:jc w:val="left"/>
              <w:rPr/>
            </w:pPr>
            <w:r>
              <w:rPr/>
              <w:t> </w:t>
            </w:r>
          </w:p>
        </w:tc>
      </w:tr>
      <w:tr>
        <w:trPr/>
        <w:tc>
          <w:tcPr>
            <w:tcW w:w="3722" w:type="dxa"/>
            <w:tcBorders/>
            <w:vAlign w:val="center"/>
          </w:tcPr>
          <w:p>
            <w:pPr>
              <w:pStyle w:val="TableContents"/>
              <w:bidi w:val="0"/>
              <w:spacing w:before="0" w:after="0"/>
              <w:jc w:val="left"/>
              <w:rPr/>
            </w:pPr>
            <w:r>
              <w:rPr/>
              <w:t xml:space="preserve">IPO and public company readiness costs </w:t>
            </w:r>
          </w:p>
        </w:tc>
        <w:tc>
          <w:tcPr>
            <w:tcW w:w="90"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2,163</w:t>
            </w:r>
          </w:p>
        </w:tc>
        <w:tc>
          <w:tcPr>
            <w:tcW w:w="25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2,005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4,917</w:t>
            </w:r>
          </w:p>
        </w:tc>
        <w:tc>
          <w:tcPr>
            <w:tcW w:w="228"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2,987</w:t>
            </w:r>
          </w:p>
        </w:tc>
        <w:tc>
          <w:tcPr>
            <w:tcW w:w="238" w:type="dxa"/>
            <w:tcBorders/>
            <w:vAlign w:val="center"/>
          </w:tcPr>
          <w:p>
            <w:pPr>
              <w:pStyle w:val="TableContents"/>
              <w:bidi w:val="0"/>
              <w:spacing w:before="0" w:after="283"/>
              <w:jc w:val="left"/>
              <w:rPr/>
            </w:pPr>
            <w:r>
              <w:rPr/>
              <w:t> </w:t>
            </w:r>
          </w:p>
        </w:tc>
      </w:tr>
      <w:tr>
        <w:trPr/>
        <w:tc>
          <w:tcPr>
            <w:tcW w:w="3722" w:type="dxa"/>
            <w:tcBorders/>
            <w:shd w:fill="CCEEFF" w:val="clear"/>
            <w:vAlign w:val="center"/>
          </w:tcPr>
          <w:p>
            <w:pPr>
              <w:pStyle w:val="TableContents"/>
              <w:bidi w:val="0"/>
              <w:spacing w:before="0" w:after="0"/>
              <w:jc w:val="left"/>
              <w:rPr/>
            </w:pPr>
            <w:r>
              <w:rPr/>
              <w:t xml:space="preserve">Acquisition related expenses </w:t>
            </w:r>
          </w:p>
        </w:tc>
        <w:tc>
          <w:tcPr>
            <w:tcW w:w="90" w:type="dxa"/>
            <w:tcBorders/>
            <w:shd w:fill="CCEEFF" w:val="clear"/>
            <w:vAlign w:val="center"/>
          </w:tcPr>
          <w:p>
            <w:pPr>
              <w:pStyle w:val="TableContents"/>
              <w:bidi w:val="0"/>
              <w:spacing w:before="0" w:after="283"/>
              <w:jc w:val="righ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12" w:space="0" w:color="000000"/>
            </w:tcBorders>
            <w:shd w:fill="CCEEFF" w:val="clear"/>
            <w:tcMar>
              <w:bottom w:w="28" w:type="dxa"/>
            </w:tcMar>
            <w:vAlign w:val="center"/>
          </w:tcPr>
          <w:p>
            <w:pPr>
              <w:pStyle w:val="TableContents"/>
              <w:bidi w:val="0"/>
              <w:spacing w:before="0" w:after="283"/>
              <w:jc w:val="right"/>
              <w:rPr/>
            </w:pPr>
            <w:r>
              <w:rPr/>
              <w:t>401</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401</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722" w:type="dxa"/>
            <w:tcBorders/>
            <w:vAlign w:val="center"/>
          </w:tcPr>
          <w:p>
            <w:pPr>
              <w:pStyle w:val="TableContents"/>
              <w:bidi w:val="0"/>
              <w:spacing w:before="0" w:after="0"/>
              <w:jc w:val="left"/>
              <w:rPr/>
            </w:pPr>
            <w:r>
              <w:rPr>
                <w:b/>
              </w:rPr>
              <w:t>Adjusted EBITDA</w:t>
            </w:r>
            <w:r>
              <w:rPr/>
              <w:t xml:space="preserve"> </w:t>
            </w:r>
          </w:p>
        </w:tc>
        <w:tc>
          <w:tcPr>
            <w:tcW w:w="90" w:type="dxa"/>
            <w:tcBorders/>
            <w:vAlign w:val="center"/>
          </w:tcPr>
          <w:p>
            <w:pPr>
              <w:pStyle w:val="TableContents"/>
              <w:bidi w:val="0"/>
              <w:spacing w:before="0" w:after="283"/>
              <w:jc w:val="right"/>
              <w:rPr/>
            </w:pPr>
            <w:r>
              <w:rPr/>
              <w:t> </w:t>
            </w:r>
          </w:p>
        </w:tc>
        <w:tc>
          <w:tcPr>
            <w:tcW w:w="238"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268" w:type="dxa"/>
            <w:tcBorders>
              <w:bottom w:val="double" w:sz="8" w:space="0" w:color="000000"/>
            </w:tcBorders>
            <w:tcMar>
              <w:bottom w:w="28" w:type="dxa"/>
            </w:tcMar>
            <w:vAlign w:val="center"/>
          </w:tcPr>
          <w:p>
            <w:pPr>
              <w:pStyle w:val="TableContents"/>
              <w:bidi w:val="0"/>
              <w:spacing w:before="0" w:after="283"/>
              <w:jc w:val="right"/>
              <w:rPr>
                <w:b/>
              </w:rPr>
            </w:pPr>
            <w:r>
              <w:rPr>
                <w:b/>
              </w:rPr>
              <w:t>84,197</w:t>
            </w:r>
          </w:p>
        </w:tc>
        <w:tc>
          <w:tcPr>
            <w:tcW w:w="258" w:type="dxa"/>
            <w:tcBorders>
              <w:bottom w:val="double" w:sz="8" w:space="0" w:color="000000"/>
            </w:tcBorders>
            <w:tcMar>
              <w:bottom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pPr>
            <w:r>
              <w:rPr/>
              <w:t> </w:t>
            </w:r>
          </w:p>
        </w:tc>
        <w:tc>
          <w:tcPr>
            <w:tcW w:w="238"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995" w:type="dxa"/>
            <w:tcBorders>
              <w:bottom w:val="double" w:sz="8" w:space="0" w:color="000000"/>
            </w:tcBorders>
            <w:tcMar>
              <w:bottom w:w="28" w:type="dxa"/>
            </w:tcMar>
            <w:vAlign w:val="center"/>
          </w:tcPr>
          <w:p>
            <w:pPr>
              <w:pStyle w:val="TableContents"/>
              <w:bidi w:val="0"/>
              <w:spacing w:before="0" w:after="283"/>
              <w:jc w:val="right"/>
              <w:rPr>
                <w:b/>
              </w:rPr>
            </w:pPr>
            <w:r>
              <w:rPr>
                <w:b/>
              </w:rPr>
              <w:t>76,179</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22" w:type="dxa"/>
            <w:tcBorders>
              <w:bottom w:val="double" w:sz="8" w:space="0" w:color="000000"/>
            </w:tcBorders>
            <w:tcMar>
              <w:bottom w:w="28" w:type="dxa"/>
            </w:tcMar>
            <w:vAlign w:val="center"/>
          </w:tcPr>
          <w:p>
            <w:pPr>
              <w:pStyle w:val="TableContents"/>
              <w:bidi w:val="0"/>
              <w:spacing w:before="0" w:after="283"/>
              <w:jc w:val="right"/>
              <w:rPr>
                <w:b/>
              </w:rPr>
            </w:pPr>
            <w:r>
              <w:rPr>
                <w:b/>
              </w:rPr>
              <w:t>91,678</w:t>
            </w:r>
          </w:p>
        </w:tc>
        <w:tc>
          <w:tcPr>
            <w:tcW w:w="228" w:type="dxa"/>
            <w:tcBorders>
              <w:bottom w:val="double" w:sz="8" w:space="0" w:color="000000"/>
            </w:tcBorders>
            <w:tcMar>
              <w:bottom w:w="28" w:type="dxa"/>
            </w:tcMar>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 </w:t>
            </w:r>
          </w:p>
        </w:tc>
        <w:tc>
          <w:tcPr>
            <w:tcW w:w="21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973" w:type="dxa"/>
            <w:tcBorders>
              <w:bottom w:val="double" w:sz="8" w:space="0" w:color="000000"/>
            </w:tcBorders>
            <w:tcMar>
              <w:bottom w:w="28" w:type="dxa"/>
            </w:tcMar>
            <w:vAlign w:val="center"/>
          </w:tcPr>
          <w:p>
            <w:pPr>
              <w:pStyle w:val="TableContents"/>
              <w:bidi w:val="0"/>
              <w:spacing w:before="0" w:after="283"/>
              <w:jc w:val="right"/>
              <w:rPr>
                <w:b/>
              </w:rPr>
            </w:pPr>
            <w:r>
              <w:rPr>
                <w:b/>
              </w:rPr>
              <w:t>78,314</w:t>
            </w:r>
          </w:p>
        </w:tc>
        <w:tc>
          <w:tcPr>
            <w:tcW w:w="238"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Note: 1 Includes a discrete tax benefit resulting from the release of the valuation allowance on the Company's U.S. federal and state deferred tax assets</w:t>
      </w:r>
      <w:r>
        <w:rPr>
          <w:rFonts w:ascii="TimesNewRoman;Times New Roman;Times;Baskerville;Georgia;serif" w:hAnsi="TimesNewRoman;Times New Roman;Times;Baskerville;Georgia;serif"/>
          <w:sz w:val="20"/>
        </w:rPr>
        <w:t xml:space="preserve">. </w:t>
      </w:r>
      <w:r>
        <w:rPr>
          <w:rFonts w:ascii="TimesNewRoman;Times New Roman;Times;Baskerville;Georgia;serif" w:hAnsi="TimesNewRoman;Times New Roman;Times;Baskerville;Georgia;serif"/>
          <w:i/>
          <w:sz w:val="20"/>
        </w:rPr>
        <w:t>2 Includes amortization related to cloud computing arrangements.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Free Cash Flow:</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56"/>
        <w:gridCol w:w="90"/>
        <w:gridCol w:w="236"/>
        <w:gridCol w:w="1093"/>
        <w:gridCol w:w="257"/>
        <w:gridCol w:w="125"/>
        <w:gridCol w:w="236"/>
        <w:gridCol w:w="1093"/>
        <w:gridCol w:w="185"/>
        <w:gridCol w:w="90"/>
        <w:gridCol w:w="206"/>
        <w:gridCol w:w="1104"/>
        <w:gridCol w:w="225"/>
        <w:gridCol w:w="109"/>
        <w:gridCol w:w="206"/>
        <w:gridCol w:w="957"/>
        <w:gridCol w:w="237"/>
      </w:tblGrid>
      <w:tr>
        <w:trPr/>
        <w:tc>
          <w:tcPr>
            <w:tcW w:w="37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r>
      <w:tr>
        <w:trPr/>
        <w:tc>
          <w:tcPr>
            <w:tcW w:w="3756" w:type="dxa"/>
            <w:vMerge w:val="restart"/>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3040"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June 30,</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2807"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237" w:type="dxa"/>
            <w:tcBorders/>
            <w:vAlign w:val="center"/>
          </w:tcPr>
          <w:p>
            <w:pPr>
              <w:pStyle w:val="TableContents"/>
              <w:bidi w:val="0"/>
              <w:spacing w:before="0" w:after="283"/>
              <w:jc w:val="center"/>
              <w:rPr/>
            </w:pPr>
            <w:r>
              <w:rPr/>
              <w:t> </w:t>
            </w:r>
          </w:p>
        </w:tc>
      </w:tr>
      <w:tr>
        <w:trPr/>
        <w:tc>
          <w:tcPr>
            <w:tcW w:w="3756" w:type="dxa"/>
            <w:vMerge w:val="continue"/>
            <w:tcBorders/>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23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93"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57" w:type="dxa"/>
            <w:tcBorders>
              <w:top w:val="single" w:sz="6" w:space="0" w:color="000000"/>
            </w:tcBorders>
            <w:tcMar>
              <w:top w:w="28" w:type="dxa"/>
            </w:tcMar>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23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93"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0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04"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25" w:type="dxa"/>
            <w:tcBorders/>
            <w:vAlign w:val="center"/>
          </w:tcPr>
          <w:p>
            <w:pPr>
              <w:pStyle w:val="TableContents"/>
              <w:bidi w:val="0"/>
              <w:spacing w:before="0" w:after="283"/>
              <w:jc w:val="center"/>
              <w:rPr/>
            </w:pPr>
            <w:r>
              <w:rPr/>
              <w:t> </w:t>
            </w:r>
          </w:p>
        </w:tc>
        <w:tc>
          <w:tcPr>
            <w:tcW w:w="109" w:type="dxa"/>
            <w:tcBorders/>
            <w:vAlign w:val="center"/>
          </w:tcPr>
          <w:p>
            <w:pPr>
              <w:pStyle w:val="TableContents"/>
              <w:bidi w:val="0"/>
              <w:spacing w:before="0" w:after="283"/>
              <w:jc w:val="center"/>
              <w:rPr/>
            </w:pPr>
            <w:r>
              <w:rPr/>
              <w:t> </w:t>
            </w:r>
          </w:p>
        </w:tc>
        <w:tc>
          <w:tcPr>
            <w:tcW w:w="20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7"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7" w:type="dxa"/>
            <w:tcBorders/>
            <w:vAlign w:val="center"/>
          </w:tcPr>
          <w:p>
            <w:pPr>
              <w:pStyle w:val="TableContents"/>
              <w:bidi w:val="0"/>
              <w:spacing w:before="0" w:after="283"/>
              <w:jc w:val="center"/>
              <w:rPr/>
            </w:pPr>
            <w:r>
              <w:rPr/>
              <w:t> </w:t>
            </w:r>
          </w:p>
        </w:tc>
      </w:tr>
      <w:tr>
        <w:trPr/>
        <w:tc>
          <w:tcPr>
            <w:tcW w:w="3756" w:type="dxa"/>
            <w:tcBorders/>
            <w:shd w:fill="CCEEFF" w:val="clear"/>
            <w:vAlign w:val="center"/>
          </w:tcPr>
          <w:p>
            <w:pPr>
              <w:pStyle w:val="TableContents"/>
              <w:bidi w:val="0"/>
              <w:spacing w:before="0" w:after="0"/>
              <w:jc w:val="left"/>
              <w:rPr/>
            </w:pPr>
            <w:r>
              <w:rPr>
                <w:b/>
              </w:rPr>
              <w:t>Net cash provided by operating activities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jc w:val="left"/>
              <w:rPr>
                <w:b/>
              </w:rPr>
            </w:pPr>
            <w:r>
              <w:rPr>
                <w:b/>
              </w:rPr>
              <w:t>$</w:t>
            </w:r>
          </w:p>
        </w:tc>
        <w:tc>
          <w:tcPr>
            <w:tcW w:w="1093" w:type="dxa"/>
            <w:tcBorders/>
            <w:shd w:fill="CCEEFF" w:val="clear"/>
            <w:vAlign w:val="center"/>
          </w:tcPr>
          <w:p>
            <w:pPr>
              <w:pStyle w:val="TableContents"/>
              <w:bidi w:val="0"/>
              <w:spacing w:before="0" w:after="283"/>
              <w:jc w:val="right"/>
              <w:rPr>
                <w:b/>
              </w:rPr>
            </w:pPr>
            <w:r>
              <w:rPr>
                <w:b/>
              </w:rPr>
              <w:t>71,593</w:t>
            </w:r>
          </w:p>
        </w:tc>
        <w:tc>
          <w:tcPr>
            <w:tcW w:w="25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jc w:val="left"/>
              <w:rPr>
                <w:b/>
              </w:rPr>
            </w:pPr>
            <w:r>
              <w:rPr>
                <w:b/>
              </w:rPr>
              <w:t>$</w:t>
            </w:r>
          </w:p>
        </w:tc>
        <w:tc>
          <w:tcPr>
            <w:tcW w:w="1093" w:type="dxa"/>
            <w:tcBorders/>
            <w:shd w:fill="CCEEFF" w:val="clear"/>
            <w:vAlign w:val="center"/>
          </w:tcPr>
          <w:p>
            <w:pPr>
              <w:pStyle w:val="TableContents"/>
              <w:bidi w:val="0"/>
              <w:spacing w:before="0" w:after="283"/>
              <w:jc w:val="right"/>
              <w:rPr>
                <w:b/>
              </w:rPr>
            </w:pPr>
            <w:r>
              <w:rPr>
                <w:b/>
              </w:rPr>
              <w:t>87,267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6" w:type="dxa"/>
            <w:tcBorders/>
            <w:shd w:fill="CCEEFF" w:val="clear"/>
            <w:vAlign w:val="center"/>
          </w:tcPr>
          <w:p>
            <w:pPr>
              <w:pStyle w:val="TableContents"/>
              <w:bidi w:val="0"/>
              <w:spacing w:before="0" w:after="283"/>
              <w:jc w:val="left"/>
              <w:rPr>
                <w:b/>
              </w:rPr>
            </w:pPr>
            <w:r>
              <w:rPr>
                <w:b/>
              </w:rPr>
              <w:t>$</w:t>
            </w:r>
          </w:p>
        </w:tc>
        <w:tc>
          <w:tcPr>
            <w:tcW w:w="1104" w:type="dxa"/>
            <w:tcBorders/>
            <w:shd w:fill="CCEEFF" w:val="clear"/>
            <w:vAlign w:val="center"/>
          </w:tcPr>
          <w:p>
            <w:pPr>
              <w:pStyle w:val="TableContents"/>
              <w:bidi w:val="0"/>
              <w:spacing w:before="0" w:after="283"/>
              <w:jc w:val="right"/>
              <w:rPr>
                <w:b/>
              </w:rPr>
            </w:pPr>
            <w:r>
              <w:rPr>
                <w:b/>
              </w:rPr>
              <w:t>49,291</w:t>
            </w:r>
          </w:p>
        </w:tc>
        <w:tc>
          <w:tcPr>
            <w:tcW w:w="225"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right"/>
              <w:rPr/>
            </w:pPr>
            <w:r>
              <w:rPr/>
              <w:t> </w:t>
            </w:r>
          </w:p>
        </w:tc>
        <w:tc>
          <w:tcPr>
            <w:tcW w:w="206" w:type="dxa"/>
            <w:tcBorders/>
            <w:shd w:fill="CCEEFF" w:val="clear"/>
            <w:vAlign w:val="center"/>
          </w:tcPr>
          <w:p>
            <w:pPr>
              <w:pStyle w:val="TableContents"/>
              <w:bidi w:val="0"/>
              <w:spacing w:before="0" w:after="283"/>
              <w:jc w:val="left"/>
              <w:rPr>
                <w:b/>
              </w:rPr>
            </w:pPr>
            <w:r>
              <w:rPr>
                <w:b/>
              </w:rPr>
              <w:t>$</w:t>
            </w:r>
          </w:p>
        </w:tc>
        <w:tc>
          <w:tcPr>
            <w:tcW w:w="957" w:type="dxa"/>
            <w:tcBorders/>
            <w:shd w:fill="CCEEFF" w:val="clear"/>
            <w:vAlign w:val="center"/>
          </w:tcPr>
          <w:p>
            <w:pPr>
              <w:pStyle w:val="TableContents"/>
              <w:bidi w:val="0"/>
              <w:spacing w:before="0" w:after="283"/>
              <w:jc w:val="right"/>
              <w:rPr>
                <w:b/>
              </w:rPr>
            </w:pPr>
            <w:r>
              <w:rPr>
                <w:b/>
              </w:rPr>
              <w:t>66,652</w:t>
            </w:r>
          </w:p>
        </w:tc>
        <w:tc>
          <w:tcPr>
            <w:tcW w:w="237" w:type="dxa"/>
            <w:tcBorders/>
            <w:shd w:fill="CCEEFF" w:val="clear"/>
            <w:vAlign w:val="center"/>
          </w:tcPr>
          <w:p>
            <w:pPr>
              <w:pStyle w:val="TableContents"/>
              <w:bidi w:val="0"/>
              <w:spacing w:before="0" w:after="283"/>
              <w:jc w:val="left"/>
              <w:rPr/>
            </w:pPr>
            <w:r>
              <w:rPr/>
              <w:t> </w:t>
            </w:r>
          </w:p>
        </w:tc>
      </w:tr>
      <w:tr>
        <w:trPr/>
        <w:tc>
          <w:tcPr>
            <w:tcW w:w="3756" w:type="dxa"/>
            <w:tcBorders/>
            <w:vAlign w:val="center"/>
          </w:tcPr>
          <w:p>
            <w:pPr>
              <w:pStyle w:val="TableContents"/>
              <w:bidi w:val="0"/>
              <w:spacing w:before="0" w:after="0"/>
              <w:jc w:val="left"/>
              <w:rPr/>
            </w:pPr>
            <w:r>
              <w:rPr/>
              <w:t xml:space="preserve">Capital expenditures </w:t>
            </w:r>
          </w:p>
        </w:tc>
        <w:tc>
          <w:tcPr>
            <w:tcW w:w="90" w:type="dxa"/>
            <w:tcBorders/>
            <w:vAlign w:val="center"/>
          </w:tcPr>
          <w:p>
            <w:pPr>
              <w:pStyle w:val="TableContents"/>
              <w:bidi w:val="0"/>
              <w:spacing w:before="0" w:after="283"/>
              <w:jc w:val="righ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3" w:type="dxa"/>
            <w:tcBorders>
              <w:bottom w:val="single" w:sz="12" w:space="0" w:color="000000"/>
            </w:tcBorders>
            <w:tcMar>
              <w:bottom w:w="28" w:type="dxa"/>
            </w:tcMar>
            <w:vAlign w:val="center"/>
          </w:tcPr>
          <w:p>
            <w:pPr>
              <w:pStyle w:val="TableContents"/>
              <w:bidi w:val="0"/>
              <w:spacing w:before="0" w:after="283"/>
              <w:jc w:val="right"/>
              <w:rPr/>
            </w:pPr>
            <w:r>
              <w:rPr/>
              <w:t>(75,727</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3" w:type="dxa"/>
            <w:tcBorders>
              <w:bottom w:val="single" w:sz="12" w:space="0" w:color="000000"/>
            </w:tcBorders>
            <w:tcMar>
              <w:bottom w:w="28" w:type="dxa"/>
            </w:tcMar>
            <w:vAlign w:val="center"/>
          </w:tcPr>
          <w:p>
            <w:pPr>
              <w:pStyle w:val="TableContents"/>
              <w:bidi w:val="0"/>
              <w:spacing w:before="0" w:after="283"/>
              <w:jc w:val="right"/>
              <w:rPr/>
            </w:pPr>
            <w:r>
              <w:rPr/>
              <w:t>(34,996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before="0" w:after="283"/>
              <w:jc w:val="right"/>
              <w:rPr/>
            </w:pPr>
            <w:r>
              <w:rPr/>
              <w:t>(132,616</w:t>
            </w:r>
          </w:p>
        </w:tc>
        <w:tc>
          <w:tcPr>
            <w:tcW w:w="2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right"/>
              <w:rPr/>
            </w:pPr>
            <w:r>
              <w:rPr/>
              <w:t> </w:t>
            </w:r>
          </w:p>
        </w:tc>
        <w:tc>
          <w:tcPr>
            <w:tcW w:w="206" w:type="dxa"/>
            <w:tcBorders>
              <w:bottom w:val="single" w:sz="12" w:space="0" w:color="000000"/>
            </w:tcBorders>
            <w:tcMar>
              <w:bottom w:w="28" w:type="dxa"/>
            </w:tcMar>
            <w:vAlign w:val="center"/>
          </w:tcPr>
          <w:p>
            <w:pPr>
              <w:pStyle w:val="TableContents"/>
              <w:bidi w:val="0"/>
              <w:spacing w:before="0" w:after="283"/>
              <w:jc w:val="left"/>
              <w:rPr/>
            </w:pPr>
            <w:r>
              <w:rPr/>
              <w:t> </w:t>
            </w:r>
          </w:p>
        </w:tc>
        <w:tc>
          <w:tcPr>
            <w:tcW w:w="957" w:type="dxa"/>
            <w:tcBorders>
              <w:bottom w:val="single" w:sz="12" w:space="0" w:color="000000"/>
            </w:tcBorders>
            <w:tcMar>
              <w:bottom w:w="28" w:type="dxa"/>
            </w:tcMar>
            <w:vAlign w:val="center"/>
          </w:tcPr>
          <w:p>
            <w:pPr>
              <w:pStyle w:val="TableContents"/>
              <w:bidi w:val="0"/>
              <w:spacing w:before="0" w:after="283"/>
              <w:jc w:val="right"/>
              <w:rPr/>
            </w:pPr>
            <w:r>
              <w:rPr/>
              <w:t>(86,535</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56" w:type="dxa"/>
            <w:tcBorders/>
            <w:shd w:fill="CCEEFF" w:val="clear"/>
            <w:vAlign w:val="center"/>
          </w:tcPr>
          <w:p>
            <w:pPr>
              <w:pStyle w:val="TableContents"/>
              <w:bidi w:val="0"/>
              <w:spacing w:before="0" w:after="0"/>
              <w:jc w:val="left"/>
              <w:rPr/>
            </w:pPr>
            <w:r>
              <w:rPr>
                <w:b/>
              </w:rPr>
              <w:t>Free cash flow</w:t>
            </w:r>
            <w:r>
              <w:rPr/>
              <w:t xml:space="preserve"> </w:t>
            </w:r>
          </w:p>
        </w:tc>
        <w:tc>
          <w:tcPr>
            <w:tcW w:w="90" w:type="dxa"/>
            <w:tcBorders/>
            <w:shd w:fill="CCEEFF" w:val="clear"/>
            <w:vAlign w:val="center"/>
          </w:tcPr>
          <w:p>
            <w:pPr>
              <w:pStyle w:val="TableContents"/>
              <w:bidi w:val="0"/>
              <w:spacing w:before="0" w:after="283"/>
              <w:jc w:val="right"/>
              <w:rPr/>
            </w:pPr>
            <w:r>
              <w:rPr/>
              <w:t> </w:t>
            </w:r>
          </w:p>
        </w:tc>
        <w:tc>
          <w:tcPr>
            <w:tcW w:w="23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93"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(4,134</w:t>
            </w:r>
          </w:p>
        </w:tc>
        <w:tc>
          <w:tcPr>
            <w:tcW w:w="257"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125" w:type="dxa"/>
            <w:tcBorders/>
            <w:shd w:fill="CCEEFF" w:val="clear"/>
            <w:vAlign w:val="center"/>
          </w:tcPr>
          <w:p>
            <w:pPr>
              <w:pStyle w:val="TableContents"/>
              <w:bidi w:val="0"/>
              <w:spacing w:before="0" w:after="283"/>
              <w:jc w:val="right"/>
              <w:rPr/>
            </w:pPr>
            <w:r>
              <w:rPr/>
              <w:t> </w:t>
            </w:r>
          </w:p>
        </w:tc>
        <w:tc>
          <w:tcPr>
            <w:tcW w:w="23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93"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52,271</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4"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(83,325</w:t>
            </w:r>
          </w:p>
        </w:tc>
        <w:tc>
          <w:tcPr>
            <w:tcW w:w="22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109" w:type="dxa"/>
            <w:tcBorders/>
            <w:shd w:fill="CCEEFF" w:val="clear"/>
            <w:vAlign w:val="center"/>
          </w:tcPr>
          <w:p>
            <w:pPr>
              <w:pStyle w:val="TableContents"/>
              <w:bidi w:val="0"/>
              <w:spacing w:before="0" w:after="283"/>
              <w:jc w:val="right"/>
              <w:rPr/>
            </w:pPr>
            <w:r>
              <w:rPr/>
              <w:t> </w:t>
            </w:r>
          </w:p>
        </w:tc>
        <w:tc>
          <w:tcPr>
            <w:tcW w:w="20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5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(19,883</w:t>
            </w:r>
          </w:p>
        </w:tc>
        <w:tc>
          <w:tcPr>
            <w:tcW w:w="237"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r>
        <w:rPr>
          <w:rFonts w:ascii="TimesNewRoman;Times New Roman;Times;Baskerville;Georgia;serif" w:hAnsi="TimesNewRoman;Times New Roman;Times;Baskerville;Georgia;serif"/>
          <w:sz w:val="16"/>
        </w:rPr>
        <w:t>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3452</Words>
  <Characters>19183</Characters>
  <CharactersWithSpaces>23651</CharactersWithSpaces>
  <Paragraphs>2111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