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U.S. Securities and Exchange Commission on July 13, 2026</w:t>
      </w: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Registration No. 333-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12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Neutron Holdings, Inc. </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68" w:type="dxa"/>
        <w:jc w:val="left"/>
        <w:tblInd w:w="0" w:type="dxa"/>
        <w:tblLayout w:type="fixed"/>
        <w:tblCellMar>
          <w:top w:w="28" w:type="dxa"/>
          <w:left w:w="28" w:type="dxa"/>
          <w:bottom w:w="28" w:type="dxa"/>
          <w:right w:w="28" w:type="dxa"/>
        </w:tblCellMar>
      </w:tblPr>
      <w:tblGrid>
        <w:gridCol w:w="863"/>
        <w:gridCol w:w="756"/>
        <w:gridCol w:w="765"/>
        <w:gridCol w:w="433"/>
        <w:gridCol w:w="433"/>
        <w:gridCol w:w="618"/>
      </w:tblGrid>
      <w:tr>
        <w:trPr/>
        <w:tc>
          <w:tcPr>
            <w:tcW w:w="8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81-4870517</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444 Townsend Street, First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Francisco, California 94107</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(415) 449-4139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Neutron Holdings, Inc. 2017 Stock Incentive Plan</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Wayne 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Neutron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444 Townsend Street, First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Francisco, California 94107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449-4139 </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including area code, of agent for service) </w:t>
      </w:r>
    </w:p>
    <w:p>
      <w:pPr>
        <w:pStyle w:val="TextBody"/>
        <w:bidi w:val="0"/>
        <w:spacing w:lineRule="auto" w:line="288" w:before="0" w:after="80"/>
        <w:jc w:val="center"/>
        <w:rPr>
          <w:rFonts w:ascii="Times New Roman;serif" w:hAnsi="Times New Roman;serif"/>
          <w:b/>
          <w:i/>
          <w:color w:val="000000"/>
          <w:sz w:val="20"/>
        </w:rPr>
      </w:pPr>
      <w:r>
        <w:rPr>
          <w:rFonts w:ascii="Times New Roman;serif" w:hAnsi="Times New Roman;serif"/>
          <w:b/>
          <w:i/>
          <w:color w:val="000000"/>
          <w:sz w:val="20"/>
        </w:rPr>
        <w:t xml:space="preserve">Copies to: </w:t>
      </w:r>
    </w:p>
    <w:tbl>
      <w:tblPr>
        <w:tblW w:w="6100" w:type="dxa"/>
        <w:jc w:val="left"/>
        <w:tblInd w:w="0" w:type="dxa"/>
        <w:tblLayout w:type="fixed"/>
        <w:tblCellMar>
          <w:top w:w="28" w:type="dxa"/>
          <w:left w:w="28" w:type="dxa"/>
          <w:bottom w:w="28" w:type="dxa"/>
          <w:right w:w="28" w:type="dxa"/>
        </w:tblCellMar>
      </w:tblPr>
      <w:tblGrid>
        <w:gridCol w:w="1031"/>
        <w:gridCol w:w="908"/>
        <w:gridCol w:w="910"/>
        <w:gridCol w:w="109"/>
        <w:gridCol w:w="109"/>
        <w:gridCol w:w="109"/>
        <w:gridCol w:w="855"/>
        <w:gridCol w:w="855"/>
        <w:gridCol w:w="121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r>
              <w:rPr>
                <w:rFonts w:ascii="Times New Roman;serif" w:hAnsi="Times New Roman;serif"/>
                <w:b/>
                <w:color w:val="000000"/>
                <w:sz w:val="20"/>
              </w:rPr>
              <w:t>Tad J. Freese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Sarah B. Axtell</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Latham &amp; Watkins LLP</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801 Jefferson Avenue, Suite 300</w:t>
            </w:r>
          </w:p>
          <w:p>
            <w:pPr>
              <w:pStyle w:val="TableContents"/>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Redwood City, California 94063</w:t>
            </w:r>
          </w:p>
          <w:p>
            <w:pPr>
              <w:pStyle w:val="TableContents"/>
              <w:bidi w:val="0"/>
              <w:spacing w:lineRule="auto" w:line="288" w:before="0" w:after="0"/>
              <w:jc w:val="center"/>
              <w:rPr/>
            </w:pPr>
            <w:r>
              <w:rPr>
                <w:rFonts w:ascii="Times New Roman;serif" w:hAnsi="Times New Roman;serif"/>
                <w:b/>
                <w:color w:val="231F20"/>
                <w:sz w:val="20"/>
              </w:rPr>
              <w:t>(650) 328-460</w:t>
            </w:r>
            <w:r>
              <w:rPr>
                <w:rFonts w:ascii="Times New Roman;serif" w:hAnsi="Times New Roman;serif"/>
                <w:b/>
                <w:color w:val="000000"/>
                <w:sz w:val="20"/>
              </w:rPr>
              <w:t>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231F20"/>
              </w:rPr>
            </w:pPr>
            <w:r>
              <w:rPr>
                <w:color w:val="231F20"/>
              </w:rPr>
              <w:t> </w:t>
            </w:r>
            <w:r>
              <w:rPr>
                <w:rFonts w:ascii="Times New Roman;serif" w:hAnsi="Times New Roman;serif"/>
                <w:b/>
                <w:color w:val="231F20"/>
                <w:sz w:val="20"/>
              </w:rPr>
              <w:t>Susie Giordano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Luke Rachlin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Yao</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 Mitchell Hughes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Neutron Holdings, Inc.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444 Townsend Street, First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Francisco, California 94107</w:t>
            </w:r>
          </w:p>
          <w:p>
            <w:pPr>
              <w:pStyle w:val="TableContents"/>
              <w:bidi w:val="0"/>
              <w:spacing w:lineRule="auto" w:line="288" w:before="0" w:after="30"/>
              <w:jc w:val="center"/>
              <w:rPr>
                <w:rFonts w:ascii="Times New Roman;serif" w:hAnsi="Times New Roman;serif"/>
                <w:b/>
                <w:color w:val="000000"/>
                <w:sz w:val="20"/>
              </w:rPr>
            </w:pPr>
            <w:r>
              <w:rPr>
                <w:rFonts w:ascii="Times New Roman;serif" w:hAnsi="Times New Roman;serif"/>
                <w:b/>
                <w:color w:val="000000"/>
                <w:sz w:val="20"/>
              </w:rPr>
              <w:t>(415) 449-4139</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360"/>
        <w:jc w:val="both"/>
        <w:rPr/>
      </w:pPr>
      <w:r>
        <w:rPr>
          <w:rFonts w:ascii="Times New Roman;serif" w:hAnsi="Times New Roman;serif"/>
          <w:b w:val="false"/>
          <w:color w:val="000000"/>
          <w:sz w:val="20"/>
        </w:rPr>
        <w:t xml:space="preserve">Neutron Holdings, Inc. (the “Registrant”) is filing this Registration Statement on Form S-8 (this “Registration Statement”) with the Securities and Exchange Commission (the “SEC”) for the purpose of registering an additional 3,058,624 shares of common stock, par value $0.0001 per share (“common stock”), issuable upon exercise of outstanding stock options pursuant to the Registrant’s 2017 Stock Incentive Plan, as amended (the “2017 Plan”) and an additional 1,506,587 shares of common stock issuable upon vesting and settlement of outstanding restricted stock units pursuant to the 2017 Plan, and for which the Registrant’s Registration Statement on Form S-8 (File No. </w:t>
      </w:r>
      <w:hyperlink r:id="rId2">
        <w:r>
          <w:rPr>
            <w:rStyle w:val="InternetLink"/>
            <w:rFonts w:ascii="Times New Roman;serif" w:hAnsi="Times New Roman;serif"/>
            <w:b w:val="false"/>
            <w:color w:val="0000FF"/>
            <w:sz w:val="20"/>
            <w:u w:val="single"/>
          </w:rPr>
          <w:t>333-297181</w:t>
        </w:r>
      </w:hyperlink>
      <w:r>
        <w:rPr>
          <w:rFonts w:ascii="Times New Roman;serif" w:hAnsi="Times New Roman;serif"/>
          <w:b w:val="false"/>
          <w:color w:val="000000"/>
          <w:sz w:val="20"/>
        </w:rPr>
        <w:t xml:space="preserve">, as amended by </w:t>
      </w:r>
      <w:hyperlink r:id="rId3">
        <w:r>
          <w:rPr>
            <w:rStyle w:val="InternetLink"/>
          </w:rPr>
          <w:t>Post-Effective Amendment No. 1</w:t>
        </w:r>
      </w:hyperlink>
      <w:hyperlink r:id="rId4">
        <w:r>
          <w:rPr>
            <w:rStyle w:val="InternetLink"/>
          </w:rPr>
          <w:t>)</w:t>
        </w:r>
      </w:hyperlink>
      <w:r>
        <w:rPr>
          <w:color w:val="000000"/>
        </w:rPr>
        <w:t xml:space="preserve"> </w:t>
      </w:r>
      <w:r>
        <w:rPr>
          <w:rFonts w:ascii="Times New Roman;serif" w:hAnsi="Times New Roman;serif"/>
          <w:b w:val="false"/>
          <w:color w:val="000000"/>
          <w:sz w:val="20"/>
        </w:rPr>
        <w:t xml:space="preserve">relating to the same employee benefit plan is effective.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288" w:before="0" w:after="240"/>
        <w:jc w:val="both"/>
        <w:rPr/>
      </w:pPr>
      <w:r>
        <w:rPr>
          <w:rFonts w:ascii="Times New Roman;serif" w:hAnsi="Times New Roman;serif"/>
          <w:b w:val="false"/>
          <w:color w:val="000000"/>
          <w:sz w:val="20"/>
        </w:rPr>
        <w:t xml:space="preserve">The contents of the Registration Statement on Form S-8 (File No. </w:t>
      </w:r>
      <w:hyperlink r:id="rId5">
        <w:r>
          <w:rPr>
            <w:rStyle w:val="InternetLink"/>
            <w:rFonts w:ascii="Times New Roman;serif" w:hAnsi="Times New Roman;serif"/>
            <w:b w:val="false"/>
            <w:color w:val="0000FF"/>
            <w:sz w:val="20"/>
            <w:u w:val="single"/>
          </w:rPr>
          <w:t>333-297181</w:t>
        </w:r>
      </w:hyperlink>
      <w:r>
        <w:rPr>
          <w:rFonts w:ascii="Times New Roman;serif" w:hAnsi="Times New Roman;serif"/>
          <w:b w:val="false"/>
          <w:color w:val="000000"/>
          <w:sz w:val="20"/>
        </w:rPr>
        <w:t xml:space="preserve">, as amended by </w:t>
      </w:r>
      <w:hyperlink r:id="rId6">
        <w:r>
          <w:rPr>
            <w:rStyle w:val="InternetLink"/>
          </w:rPr>
          <w:t>Post</w:t>
        </w:r>
      </w:hyperlink>
      <w:hyperlink r:id="rId7">
        <w:r>
          <w:rPr>
            <w:rStyle w:val="InternetLink"/>
          </w:rPr>
          <w:t>-Effective Amendment No. 1</w:t>
        </w:r>
      </w:hyperlink>
      <w:r>
        <w:rPr>
          <w:rFonts w:ascii="Times New Roman;serif" w:hAnsi="Times New Roman;serif"/>
          <w:b w:val="false"/>
          <w:color w:val="000000"/>
          <w:sz w:val="20"/>
        </w:rPr>
        <w:t>) filed with the SEC relating to the 2017 Plan are incorporated herein by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24"/>
        <w:gridCol w:w="1579"/>
        <w:gridCol w:w="1537"/>
        <w:gridCol w:w="109"/>
        <w:gridCol w:w="109"/>
        <w:gridCol w:w="109"/>
        <w:gridCol w:w="179"/>
        <w:gridCol w:w="179"/>
        <w:gridCol w:w="181"/>
        <w:gridCol w:w="109"/>
        <w:gridCol w:w="109"/>
        <w:gridCol w:w="109"/>
        <w:gridCol w:w="323"/>
        <w:gridCol w:w="301"/>
        <w:gridCol w:w="302"/>
        <w:gridCol w:w="122"/>
        <w:gridCol w:w="122"/>
        <w:gridCol w:w="122"/>
        <w:gridCol w:w="210"/>
        <w:gridCol w:w="210"/>
        <w:gridCol w:w="211"/>
        <w:gridCol w:w="122"/>
        <w:gridCol w:w="122"/>
        <w:gridCol w:w="122"/>
        <w:gridCol w:w="274"/>
        <w:gridCol w:w="274"/>
        <w:gridCol w:w="40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File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Number</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left"/>
              <w:rPr/>
            </w:pPr>
            <w:hyperlink r:id="rId8">
              <w:r>
                <w:rPr>
                  <w:rStyle w:val="InternetLink"/>
                  <w:rFonts w:ascii="Times New Roman;serif" w:hAnsi="Times New Roman;serif"/>
                  <w:b w:val="false"/>
                  <w:color w:val="0000FF"/>
                  <w:sz w:val="20"/>
                  <w:u w:val="single"/>
                </w:rPr>
                <w:t>Amended and Restated Certificate of Incorporation of Neutron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001-43374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r:id="rId9">
              <w:r>
                <w:rPr>
                  <w:rStyle w:val="InternetLink"/>
                  <w:rFonts w:ascii="Times New Roman;serif" w:hAnsi="Times New Roman;serif"/>
                  <w:b w:val="false"/>
                  <w:color w:val="0000FF"/>
                  <w:sz w:val="20"/>
                  <w:u w:val="single"/>
                </w:rPr>
                <w:t>Amended and Restated Bylaws of Neutron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001-43374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bookmarkStart w:id="0" w:name="i8c2e776337da404d96005d018be11d32_4-8-1-"/>
            <w:bookmarkEnd w:id="0"/>
            <w:r>
              <w:rPr>
                <w:rFonts w:ascii="Times New Roman;serif" w:hAnsi="Times New Roman;serif"/>
                <w:b w:val="false"/>
                <w:color w:val="000000"/>
                <w:sz w:val="20"/>
              </w:rPr>
              <w:t>3.2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xjuly2026.htm">
              <w:r>
                <w:rPr>
                  <w:rStyle w:val="InternetLink"/>
                  <w:rFonts w:ascii="Times New Roman;serif" w:hAnsi="Times New Roman;serif"/>
                  <w:b w:val="false"/>
                  <w:color w:val="0000FF"/>
                  <w:sz w:val="20"/>
                  <w:u w:val="single"/>
                </w:rPr>
                <w:t>Opinion of Latham &amp; Watkins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8xjuly2026.htm">
              <w:r>
                <w:rPr>
                  <w:rStyle w:val="InternetLink"/>
                  <w:rFonts w:ascii="Times New Roman;serif" w:hAnsi="Times New Roman;serif"/>
                  <w:b w:val="false"/>
                  <w:color w:val="0000FF"/>
                  <w:sz w:val="20"/>
                  <w:u w:val="single"/>
                </w:rPr>
                <w:t>Consent of Latham &amp; Watkins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sx8xjuly2026.htm">
              <w:r>
                <w:rPr>
                  <w:rStyle w:val="InternetLink"/>
                  <w:rFonts w:ascii="Times New Roman;serif" w:hAnsi="Times New Roman;serif"/>
                  <w:b w:val="false"/>
                  <w:color w:val="0000FF"/>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7b5a4ef20e4aafbc2d2ac6ce5bb2bf_125">
              <w:r>
                <w:rPr>
                  <w:rStyle w:val="InternetLink"/>
                  <w:rFonts w:ascii="Times New Roman;serif" w:hAnsi="Times New Roman;serif"/>
                  <w:b w:val="false"/>
                  <w:color w:val="0000FF"/>
                  <w:sz w:val="20"/>
                  <w:u w:val="single"/>
                </w:rPr>
                <w:t>Power of Attorney (included on the signature page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Neutron Holdings, Inc. 2017 Stock Incentive Plan, as amended, and forms of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333-295679</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mefilingfee.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this 13th day of July, 2026. </w:t>
      </w:r>
    </w:p>
    <w:tbl>
      <w:tblPr>
        <w:tblW w:w="4148" w:type="dxa"/>
        <w:jc w:val="left"/>
        <w:tblInd w:w="0" w:type="dxa"/>
        <w:tblLayout w:type="fixed"/>
        <w:tblCellMar>
          <w:top w:w="28" w:type="dxa"/>
          <w:left w:w="28" w:type="dxa"/>
          <w:bottom w:w="28" w:type="dxa"/>
          <w:right w:w="28" w:type="dxa"/>
        </w:tblCellMar>
      </w:tblPr>
      <w:tblGrid>
        <w:gridCol w:w="124"/>
        <w:gridCol w:w="109"/>
        <w:gridCol w:w="109"/>
        <w:gridCol w:w="282"/>
        <w:gridCol w:w="282"/>
        <w:gridCol w:w="282"/>
        <w:gridCol w:w="282"/>
        <w:gridCol w:w="282"/>
        <w:gridCol w:w="282"/>
        <w:gridCol w:w="609"/>
        <w:gridCol w:w="609"/>
        <w:gridCol w:w="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NEUTRON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Wayne 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240"/>
        <w:jc w:val="both"/>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xml:space="preserve">, that each person whose signature appears below constitutes and appoints Wayne Ting, Ann Gugino, and Susie Giordano,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tbl>
      <w:tblPr>
        <w:tblW w:w="6953"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1020"/>
        <w:gridCol w:w="1020"/>
        <w:gridCol w:w="1034"/>
        <w:gridCol w:w="109"/>
        <w:gridCol w:w="109"/>
        <w:gridCol w:w="109"/>
        <w:gridCol w:w="368"/>
        <w:gridCol w:w="368"/>
        <w:gridCol w:w="52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231F20"/>
                <w:sz w:val="20"/>
              </w:rPr>
            </w:pPr>
            <w:r>
              <w:rPr>
                <w:rFonts w:ascii="Times New Roman;serif" w:hAnsi="Times New Roman;serif"/>
                <w:b/>
                <w:color w:val="231F2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Date</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Chief Executive Officer and Director</w:t>
            </w:r>
          </w:p>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Wayne 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Ann Gugino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Chief Financial Officer</w:t>
            </w:r>
          </w:p>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Ann Gugino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Michael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Chief Accounting Officer</w:t>
            </w:r>
          </w:p>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Michael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Zhoujia Brad Bao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Zhoujia Brad Bao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Andrew Macdonald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Andrew Macdonald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Brandon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Brandon Pedersen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James Rowan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 xml:space="preserve">James Rowan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231F20"/>
                <w:sz w:val="20"/>
              </w:rPr>
            </w:pPr>
            <w:r>
              <w:rPr>
                <w:rFonts w:ascii="Times New Roman;serif" w:hAnsi="Times New Roman;serif"/>
                <w:b w:val="false"/>
                <w:color w:val="231F20"/>
                <w:sz w:val="20"/>
              </w:rPr>
              <w:t>/s/ Sarah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231F20"/>
                <w:sz w:val="20"/>
              </w:rPr>
            </w:pPr>
            <w:r>
              <w:rPr>
                <w:rFonts w:ascii="Times New Roman;serif" w:hAnsi="Times New Roman;serif"/>
                <w:b w:val="false"/>
                <w:color w:val="231F20"/>
                <w:sz w:val="20"/>
              </w:rPr>
              <w:t>Sarah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1" w:name="limefilingfee.htm"/>
      <w:bookmarkStart w:id="2" w:name="kslimefilingfee"/>
      <w:bookmarkStart w:id="3" w:name="limefilingfee.htm"/>
      <w:bookmarkStart w:id="4" w:name="kslimefilingfee"/>
      <w:bookmarkEnd w:id="3"/>
      <w:bookmarkEnd w:id="4"/>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Neutron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207"/>
        <w:gridCol w:w="1276"/>
        <w:gridCol w:w="1186"/>
        <w:gridCol w:w="1157"/>
        <w:gridCol w:w="1667"/>
        <w:gridCol w:w="1126"/>
        <w:gridCol w:w="139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issuable upon the exercise of outstanding stock options under the Registrant"s 2017 Stock Incentive Plan (as amended, the "2017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3,058,624 </w:t>
            </w:r>
          </w:p>
        </w:tc>
        <w:tc>
          <w:tcPr>
            <w:tcW w:w="1157" w:type="dxa"/>
            <w:tcBorders/>
            <w:shd w:fill="E7E7E2" w:val="clear"/>
            <w:vAlign w:val="center"/>
          </w:tcPr>
          <w:p>
            <w:pPr>
              <w:pStyle w:val="TableContents"/>
              <w:bidi w:val="0"/>
              <w:spacing w:before="0" w:after="283"/>
              <w:jc w:val="right"/>
              <w:rPr/>
            </w:pPr>
            <w:r>
              <w:rPr/>
              <w:t xml:space="preserve">$ 9.3017 </w:t>
            </w:r>
          </w:p>
        </w:tc>
        <w:tc>
          <w:tcPr>
            <w:tcW w:w="1667" w:type="dxa"/>
            <w:tcBorders/>
            <w:shd w:fill="E7E7E2" w:val="clear"/>
            <w:vAlign w:val="center"/>
          </w:tcPr>
          <w:p>
            <w:pPr>
              <w:pStyle w:val="TableContents"/>
              <w:bidi w:val="0"/>
              <w:spacing w:before="0" w:after="283"/>
              <w:jc w:val="right"/>
              <w:rPr/>
            </w:pPr>
            <w:r>
              <w:rPr/>
              <w:t xml:space="preserve">$ 28,450,402.86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$ 3,929.00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7" w:type="dxa"/>
            <w:tcBorders/>
            <w:shd w:fill="E7E7E2" w:val="clear"/>
            <w:vAlign w:val="center"/>
          </w:tcPr>
          <w:p>
            <w:pPr>
              <w:pStyle w:val="TableContents"/>
              <w:bidi w:val="0"/>
              <w:spacing w:before="0" w:after="283"/>
              <w:jc w:val="left"/>
              <w:rPr/>
            </w:pPr>
            <w:r>
              <w:rPr/>
              <w:t xml:space="preserve">Common stock issuable upon vesting and settlement of outstanding restricted stock units under the 2017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1,506,587 </w:t>
            </w:r>
          </w:p>
        </w:tc>
        <w:tc>
          <w:tcPr>
            <w:tcW w:w="1157" w:type="dxa"/>
            <w:tcBorders/>
            <w:shd w:fill="E7E7E2" w:val="clear"/>
            <w:vAlign w:val="center"/>
          </w:tcPr>
          <w:p>
            <w:pPr>
              <w:pStyle w:val="TableContents"/>
              <w:bidi w:val="0"/>
              <w:spacing w:before="0" w:after="283"/>
              <w:jc w:val="right"/>
              <w:rPr/>
            </w:pPr>
            <w:r>
              <w:rPr/>
              <w:t xml:space="preserve">$ 24.53 </w:t>
            </w:r>
          </w:p>
        </w:tc>
        <w:tc>
          <w:tcPr>
            <w:tcW w:w="1667" w:type="dxa"/>
            <w:tcBorders/>
            <w:shd w:fill="E7E7E2" w:val="clear"/>
            <w:vAlign w:val="center"/>
          </w:tcPr>
          <w:p>
            <w:pPr>
              <w:pStyle w:val="TableContents"/>
              <w:bidi w:val="0"/>
              <w:spacing w:before="0" w:after="283"/>
              <w:jc w:val="right"/>
              <w:rPr/>
            </w:pPr>
            <w:r>
              <w:rPr/>
              <w:t xml:space="preserve">$ 36,956,579.11 </w:t>
            </w:r>
          </w:p>
        </w:tc>
        <w:tc>
          <w:tcPr>
            <w:tcW w:w="1126" w:type="dxa"/>
            <w:tcBorders/>
            <w:shd w:fill="E7E7E2" w:val="clear"/>
            <w:vAlign w:val="center"/>
          </w:tcPr>
          <w:p>
            <w:pPr>
              <w:pStyle w:val="TableContents"/>
              <w:bidi w:val="0"/>
              <w:spacing w:before="0" w:after="283"/>
              <w:jc w:val="right"/>
              <w:rPr/>
            </w:pPr>
            <w:r>
              <w:rPr/>
              <w:t xml:space="preserve">0.0001381 </w:t>
            </w:r>
          </w:p>
        </w:tc>
        <w:tc>
          <w:tcPr>
            <w:tcW w:w="1399" w:type="dxa"/>
            <w:tcBorders/>
            <w:shd w:fill="E7E7E2" w:val="clear"/>
            <w:vAlign w:val="center"/>
          </w:tcPr>
          <w:p>
            <w:pPr>
              <w:pStyle w:val="TableContents"/>
              <w:bidi w:val="0"/>
              <w:spacing w:before="0" w:after="283"/>
              <w:jc w:val="right"/>
              <w:rPr/>
            </w:pPr>
            <w:r>
              <w:rPr/>
              <w:t xml:space="preserve">$ 5,103.70 </w:t>
            </w:r>
          </w:p>
        </w:tc>
      </w:tr>
      <w:tr>
        <w:trPr/>
        <w:tc>
          <w:tcPr>
            <w:tcW w:w="4856"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0"/>
              <w:ind w:left="0" w:right="0" w:hanging="0"/>
              <w:jc w:val="right"/>
              <w:rPr/>
            </w:pPr>
            <w:bookmarkStart w:id="5" w:name="MaxAggtOfferingPrice"/>
            <w:bookmarkEnd w:id="5"/>
            <w:r>
              <w:rPr/>
              <w:t xml:space="preserve">$ 65,406,981.97 </w:t>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 w:name="TotalFeeAmt"/>
            <w:bookmarkEnd w:id="6"/>
            <w:r>
              <w:rPr/>
              <w:t xml:space="preserve">$ 9,032.70 </w:t>
            </w:r>
          </w:p>
        </w:tc>
      </w:tr>
      <w:tr>
        <w:trPr/>
        <w:tc>
          <w:tcPr>
            <w:tcW w:w="4856"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7" w:name="TotalOffsetAmt"/>
            <w:bookmarkEnd w:id="7"/>
            <w:r>
              <w:rPr/>
              <w:t xml:space="preserve">$ 0.00 </w:t>
            </w:r>
          </w:p>
        </w:tc>
      </w:tr>
      <w:tr>
        <w:trPr/>
        <w:tc>
          <w:tcPr>
            <w:tcW w:w="4856"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8" w:name="NetFeeAmt"/>
            <w:bookmarkEnd w:id="8"/>
            <w:r>
              <w:rPr/>
              <w:t xml:space="preserve">$ 9,032.70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416(a) under the Securities Act of 1933, as amended (the "Securities Act"), this registration statement (this "Registration Statement") shall also cover any additional shares of common stock, par value $0.0001 per share ("common stock"), of Neutron Holdings, Inc. (the "Registrant"), that become issuable under the above-named plan, by reason of any stock dividend, stock split, recapitalization, or other similar transaction effected that results in an increase to the number of outstanding shares of common stock. (b) Represents shares of common stock issuable upon the exercise of outstanding stock options under the 2017 Plan as of the date of this Registrant Statement. (c) Estimated solely for the purpose of calculating the registration fee in accordance with Rule 457(h) under the Securities Act. The proposed maximum offering price per share and the proposed maximum aggregate offering price are based on $9.3107 per share, which is the weighted-average exercise price of the outstanding stock options under the 2017 Plan as of the date of this Registrant Statement.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note 1(a). (a) Represents shares of common stock issuable upon the vesting and settlement of outstanding restricted stock unit awards under the 2017 Plan as of the date of this Registrant Statement. (b) Pursuant to Rules 457(c) and 457(h) of the Securities Act, and solely for the purposes of calculating the amount of the registration fee, the proposed maximum offering price is based on the average of the high and low prices of the Registrant's common stock as reported on The Nasdaq Global Select Market on July 6,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tbl>
      <w:tblPr>
        <w:tblW w:w="6221" w:type="dxa"/>
        <w:jc w:val="left"/>
        <w:tblInd w:w="0" w:type="dxa"/>
        <w:tblLayout w:type="fixed"/>
        <w:tblCellMar>
          <w:top w:w="28" w:type="dxa"/>
          <w:left w:w="28" w:type="dxa"/>
          <w:bottom w:w="28" w:type="dxa"/>
          <w:right w:w="28" w:type="dxa"/>
        </w:tblCellMar>
      </w:tblPr>
      <w:tblGrid>
        <w:gridCol w:w="674"/>
        <w:gridCol w:w="593"/>
        <w:gridCol w:w="593"/>
        <w:gridCol w:w="593"/>
        <w:gridCol w:w="593"/>
        <w:gridCol w:w="595"/>
        <w:gridCol w:w="109"/>
        <w:gridCol w:w="109"/>
        <w:gridCol w:w="109"/>
        <w:gridCol w:w="341"/>
        <w:gridCol w:w="341"/>
        <w:gridCol w:w="341"/>
        <w:gridCol w:w="360"/>
        <w:gridCol w:w="360"/>
        <w:gridCol w:w="510"/>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801 Jefferson Avenue, Suite 300</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 xml:space="preserve">Redwood City, California 94063 </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Tel: +1.650.328.4600</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www.lw.com</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1"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47900" cy="1428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12"/>
                          <a:stretch>
                            <a:fillRect/>
                          </a:stretch>
                        </pic:blipFill>
                        <pic:spPr bwMode="auto">
                          <a:xfrm>
                            <a:off x="0" y="0"/>
                            <a:ext cx="2247900" cy="1428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64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Austin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Beijing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Boston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Brussels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Chicago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Dubai</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Düsseldorf</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Frankfurt</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Hamburg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Hong Kong</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Houston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London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Los Angeles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Madrid</w:t>
            </w:r>
          </w:p>
        </w:tc>
        <w:tc>
          <w:tcPr>
            <w:tcW w:w="1230"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Milan</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Munich</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New York</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Orange County</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Paris</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Riyadh</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San Diego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San Francisco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Seoul</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Silicon Valley</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Singapore</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Tel Aviv</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Tokyo</w:t>
            </w:r>
          </w:p>
          <w:p>
            <w:pPr>
              <w:pStyle w:val="TableContents"/>
              <w:bidi w:val="0"/>
              <w:spacing w:lineRule="auto" w:line="288" w:before="0" w:after="60"/>
              <w:jc w:val="left"/>
              <w:rPr>
                <w:rFonts w:ascii="Arial;sans-serif" w:hAnsi="Arial;sans-serif"/>
                <w:b w:val="false"/>
                <w:color w:val="000000"/>
                <w:sz w:val="14"/>
              </w:rPr>
            </w:pPr>
            <w:r>
              <w:rPr>
                <w:rFonts w:ascii="Arial;sans-serif" w:hAnsi="Arial;sans-serif"/>
                <w:b w:val="false"/>
                <w:color w:val="000000"/>
                <w:sz w:val="14"/>
              </w:rPr>
              <w:t>Washington, D.C.</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123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3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13, 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Neutron Holdings, Inc.</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444 Townsend Street, First Floor</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San Francisco, California 94107</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S-8</w:t>
            </w:r>
          </w:p>
        </w:tc>
      </w:tr>
    </w:tbl>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88" w:before="0" w:after="240"/>
        <w:ind w:left="0" w:right="0" w:firstLine="720"/>
        <w:jc w:val="left"/>
        <w:rPr/>
      </w:pPr>
      <w:r>
        <w:rPr>
          <w:rFonts w:ascii="Times New Roman;serif" w:hAnsi="Times New Roman;serif"/>
          <w:b w:val="false"/>
          <w:color w:val="000000"/>
          <w:sz w:val="24"/>
        </w:rPr>
        <w:t>We have acted as special counsel to Neutron Holdings,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preparation and filing by the Company on the date hereof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of a Registration Statement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on Form S-8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relating to the issuance of up to 4,565,211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of common stock, $0.0001 par value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which may be issued pursuant to the Company’s 2017 Stock Incentive Plan (as amended, the “</w:t>
      </w:r>
      <w:r>
        <w:rPr>
          <w:rFonts w:ascii="Times New Roman;serif" w:hAnsi="Times New Roman;serif"/>
          <w:b/>
          <w:i/>
          <w:color w:val="000000"/>
          <w:sz w:val="24"/>
        </w:rPr>
        <w:t>2017 Plan</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we express no opinion with respect to any other laws.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and the other matters set forth herein, it is our opinion that as of the date hereof, when the Shares shall have been duly registered on the books of the transfer </w:t>
      </w:r>
    </w:p>
    <w:p>
      <w:pPr>
        <w:pStyle w:val="TextBody"/>
        <w:bidi w:val="0"/>
        <w:spacing w:lineRule="atLeast" w:line="160" w:before="0" w:after="0"/>
        <w:jc w:val="left"/>
        <w:rPr>
          <w:rFonts w:ascii="Arial;sans-serif" w:hAnsi="Arial;sans-serif"/>
          <w:b/>
          <w:color w:val="000000"/>
          <w:sz w:val="14"/>
        </w:rPr>
      </w:pPr>
      <w:r>
        <w:rPr>
          <w:rFonts w:ascii="Arial;sans-serif" w:hAnsi="Arial;sans-serif"/>
          <w:b/>
          <w:color w:val="000000"/>
          <w:sz w:val="14"/>
        </w:rPr>
        <w:t>July 13, 2026</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9560"/>
                <wp:effectExtent l="0" t="0" r="0" b="0"/>
                <wp:wrapNone/>
                <wp:docPr id="6" name="Frame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120"/>
                        <w:jc w:val="left"/>
                        <w:rPr/>
                      </w:pPr>
                      <w:r>
                        <w:rPr/>
                      </w:r>
                    </w:p>
                  </w:txbxContent>
                </v:textbox>
                <w10:wrap type="none"/>
              </v:rect>
            </w:pict>
          </mc:Fallback>
        </mc:AlternateContent>
      </w:r>
    </w:p>
    <w:p>
      <w:pPr>
        <w:pStyle w:val="TextBody"/>
        <w:bidi w:val="0"/>
        <w:spacing w:lineRule="atLeast" w:line="160" w:before="0" w:after="240"/>
        <w:jc w:val="left"/>
        <w:rPr>
          <w:rFonts w:ascii="Arial;sans-serif" w:hAnsi="Arial;sans-serif"/>
          <w:b/>
          <w:color w:val="000000"/>
          <w:sz w:val="14"/>
        </w:rPr>
      </w:pPr>
      <w:r>
        <w:rPr>
          <w:rFonts w:ascii="Arial;sans-serif" w:hAnsi="Arial;sans-serif"/>
          <w:b/>
          <w:color w:val="000000"/>
          <w:sz w:val="14"/>
        </w:rPr>
        <w:t>Page 2</w:t>
      </w:r>
    </w:p>
    <w:p>
      <w:pPr>
        <w:pStyle w:val="TextBody"/>
        <w:bidi w:val="0"/>
        <w:spacing w:before="0" w:after="0"/>
        <w:jc w:val="left"/>
        <w:rPr/>
      </w:pPr>
      <w:r>
        <w:rPr/>
        <w:drawing>
          <wp:inline distT="0" distB="0" distL="0" distR="0">
            <wp:extent cx="1552575" cy="1428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13"/>
                    <a:stretch>
                      <a:fillRect/>
                    </a:stretch>
                  </pic:blipFill>
                  <pic:spPr bwMode="auto">
                    <a:xfrm>
                      <a:off x="0" y="0"/>
                      <a:ext cx="1552575" cy="142875"/>
                    </a:xfrm>
                    <a:prstGeom prst="rect">
                      <a:avLst/>
                    </a:prstGeom>
                  </pic:spPr>
                </pic:pic>
              </a:graphicData>
            </a:graphic>
          </wp:inline>
        </w:drawing>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agent and registrar therefor in the name or on behalf of the purchasers, and have been issued by the Company for legal consideration of not less than par value in the circumstances contemplated by the 2017 Plan, assuming that the individual issuances, grants or awards under the 2017 Plan are duly authorized by all necessary corporate action and duly issued, granted or awarded and exercised in accordance with the requirements of law and the 2017 Plan (and the agreements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tbl>
      <w:tblPr>
        <w:tblW w:w="3057" w:type="dxa"/>
        <w:jc w:val="left"/>
        <w:tblInd w:w="0" w:type="dxa"/>
        <w:tblLayout w:type="fixed"/>
        <w:tblCellMar>
          <w:top w:w="28" w:type="dxa"/>
          <w:left w:w="28" w:type="dxa"/>
          <w:bottom w:w="28" w:type="dxa"/>
          <w:right w:w="28" w:type="dxa"/>
        </w:tblCellMar>
      </w:tblPr>
      <w:tblGrid>
        <w:gridCol w:w="124"/>
        <w:gridCol w:w="109"/>
        <w:gridCol w:w="109"/>
        <w:gridCol w:w="793"/>
        <w:gridCol w:w="793"/>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Sincerely,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600"/>
        <w:jc w:val="left"/>
        <w:rPr>
          <w:rFonts w:ascii="Arial;sans-serif" w:hAnsi="Arial;sans-serif"/>
          <w:b w:val="false"/>
          <w:color w:val="000000"/>
          <w:sz w:val="20"/>
        </w:rPr>
      </w:pPr>
      <w:r>
        <w:rPr>
          <w:rFonts w:ascii="Arial;sans-serif" w:hAnsi="Arial;sans-serif"/>
          <w:b w:val="false"/>
          <w:color w:val="000000"/>
          <w:sz w:val="20"/>
        </w:rPr>
        <w:t>We consent to the use of our report dated March 19, 2026, except for Note 17, as to which the date is May 7, 2026, and the reverse stock splits described in Note 1 and the subsequent events described in Note 18, as to which the date is June 22, 2026, with respect to the consolidated financial statements of Neutron Holdings, Inc., incorporated herein by reference.</w:t>
      </w:r>
    </w:p>
    <w:p>
      <w:pPr>
        <w:pStyle w:val="TextBody"/>
        <w:bidi w:val="0"/>
        <w:spacing w:lineRule="auto" w:line="290" w:before="0" w:after="3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July 13,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9963/000162828026046333/neutrons-8.htm" TargetMode="External"/><Relationship Id="rId3" Type="http://schemas.openxmlformats.org/officeDocument/2006/relationships/hyperlink" Target="https://www.sec.gov/Archives/edgar/data/1699963/000162828026046692/neutrons-8pos.htm" TargetMode="External"/><Relationship Id="rId4" Type="http://schemas.openxmlformats.org/officeDocument/2006/relationships/hyperlink" Target="https://www.sec.gov/Archives/edgar/data/1699963/000162828026046692/neutrons-8pos.htm" TargetMode="External"/><Relationship Id="rId5" Type="http://schemas.openxmlformats.org/officeDocument/2006/relationships/hyperlink" Target="https://www.sec.gov/Archives/edgar/data/1699963/000162828026046333/neutrons-8.htm" TargetMode="External"/><Relationship Id="rId6" Type="http://schemas.openxmlformats.org/officeDocument/2006/relationships/hyperlink" Target="https://www.sec.gov/Archives/edgar/data/1699963/000162828026046692/neutrons-8pos.htm" TargetMode="External"/><Relationship Id="rId7" Type="http://schemas.openxmlformats.org/officeDocument/2006/relationships/hyperlink" Target="https://www.sec.gov/Archives/edgar/data/1699963/000162828026046692/neutrons-8pos.htm" TargetMode="External"/><Relationship Id="rId8" Type="http://schemas.openxmlformats.org/officeDocument/2006/relationships/hyperlink" Target="https://www.sec.gov/Archives/edgar/data/1699963/000162828026047289/exhibit31-closing8xk.htm" TargetMode="External"/><Relationship Id="rId9" Type="http://schemas.openxmlformats.org/officeDocument/2006/relationships/hyperlink" Target="https://www.sec.gov/Archives/edgar/data/1699963/000162828026047289/exhibit32-closing8xk.htm" TargetMode="External"/><Relationship Id="rId10" Type="http://schemas.openxmlformats.org/officeDocument/2006/relationships/hyperlink" Target="https://www.sec.gov/Archives/edgar/data/1699963/000162828026044471/exhibit41-sx1a1.htm" TargetMode="External"/><Relationship Id="rId11" Type="http://schemas.openxmlformats.org/officeDocument/2006/relationships/hyperlink" Target="https://www.sec.gov/Archives/edgar/data/1699963/000162828026032523/exhibit101-sx1.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2134</Words>
  <Characters>11436</Characters>
  <CharactersWithSpaces>13395</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