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Neutron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Uber Technologies,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14,859,661.00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14,859,661.00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14,859,661.00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22.87 %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for (11) - The percent of Common Stock, beneficially owned by the Reporting Person was calculated based on the 64,984,190 Common Stock issued as of July 31, 2026, as described in the Issuer's Quarterly Report on Form 10-Q filed with the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Neutron Holdings, Inc.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 2nd Street, Suite 750, San Francisco, California 94105</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Uber Technologies, Inc. (the "Reporting Person" or "Uber"), a publicly traded Delaware corporation, because the Reporting Person holds 14,859,661 shares of stock, par value $0.0001 per share ("Common Stock") of Neutron Holdings, Inc. (the "Issuer") through SMB Holding Corporation ("SMB Holding"), a wholly-owned subsidiary of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1725 3rd Street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14,859,661</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22.87%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14,859,661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14,859,661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The percent of Common Stock, beneficially owned by the Reporting Person was calculated based on the 64,984,190 Common Stock issued as of July 31, 2026, as described in the Issuer's Quarterly Report on Form 10-Q filed with the Securities and Exchange Commission on August 11,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A relating to the securities that are held by SMB Holding, a subsidiary of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Uber Technologies, Inc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9"/>
        <w:gridCol w:w="4126"/>
      </w:tblGrid>
      <w:tr>
        <w:trPr/>
        <w:tc>
          <w:tcPr>
            <w:tcW w:w="60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Balaji Krishnamurthy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Balaji Krishnamurthy/Chief Financial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26"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Times;Serif" w:hAnsi="Times New Roman;Times;Serif"/>
          <w:b w:val="false"/>
          <w:i w:val="false"/>
          <w:caps w:val="false"/>
          <w:smallCaps w:val="false"/>
          <w:sz w:val="20"/>
        </w:rPr>
      </w:pPr>
      <w:bookmarkStart w:id="16" w:name="e26310_ex99-a.htm"/>
      <w:bookmarkStart w:id="17" w:name="kse26310_ex99a"/>
      <w:bookmarkEnd w:id="16"/>
      <w:bookmarkEnd w:id="17"/>
      <w:r>
        <w:rPr>
          <w:rFonts w:ascii="Times New Roman;Times;Serif" w:hAnsi="Times New Roman;Times;Serif"/>
          <w:b w:val="false"/>
          <w:i w:val="false"/>
          <w:caps w:val="false"/>
          <w:smallCaps w:val="false"/>
          <w:sz w:val="20"/>
        </w:rPr>
        <w:t>Exhibit A</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Identification of Subsidiary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Technologies, Inc. (the “Reporting Person”) has filed the accompanying Schedule 13G pursuant to Rule 13d-1(d). The common stock, par value $0.0001 per share, of Neutron Holdings, Inc. reported in the accompanying Schedule 13G are held directly by SMB Holding Corporation, a wholly-owned subsidiary of the Reporting Person.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920</Words>
  <Characters>4916</Characters>
  <CharactersWithSpaces>5829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